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87B94">
        <w:tblPrEx>
          <w:tblCellMar>
            <w:top w:w="0" w:type="dxa"/>
            <w:bottom w:w="0" w:type="dxa"/>
          </w:tblCellMar>
        </w:tblPrEx>
        <w:trPr>
          <w:tblCellSpacing w:w="60" w:type="dxa"/>
        </w:trPr>
        <w:tc>
          <w:tcPr>
            <w:tcW w:w="1200" w:type="pct"/>
            <w:shd w:val="clear" w:color="auto" w:fill="E7F0F9"/>
          </w:tcPr>
          <w:p w:rsidR="00A87B94" w:rsidRDefault="007447B0">
            <w:pPr>
              <w:spacing w:after="0" w:line="240" w:lineRule="auto"/>
            </w:pPr>
            <w:bookmarkStart w:id="0" w:name="_GoBack"/>
            <w:bookmarkEnd w:id="0"/>
            <w:r>
              <w:rPr>
                <w:b/>
              </w:rPr>
              <w:t>RKP broj</w:t>
            </w:r>
          </w:p>
        </w:tc>
        <w:tc>
          <w:tcPr>
            <w:tcW w:w="0" w:type="auto"/>
            <w:shd w:val="clear" w:color="auto" w:fill="E7F0F9"/>
          </w:tcPr>
          <w:p w:rsidR="00A87B94" w:rsidRDefault="007447B0">
            <w:pPr>
              <w:spacing w:after="0" w:line="240" w:lineRule="auto"/>
            </w:pPr>
            <w:r>
              <w:t>16490</w:t>
            </w:r>
          </w:p>
        </w:tc>
      </w:tr>
      <w:tr w:rsidR="00A87B94">
        <w:tblPrEx>
          <w:tblCellMar>
            <w:top w:w="0" w:type="dxa"/>
            <w:bottom w:w="0" w:type="dxa"/>
          </w:tblCellMar>
        </w:tblPrEx>
        <w:trPr>
          <w:tblCellSpacing w:w="60" w:type="dxa"/>
        </w:trPr>
        <w:tc>
          <w:tcPr>
            <w:tcW w:w="1200" w:type="pct"/>
            <w:shd w:val="clear" w:color="auto" w:fill="E7F0F9"/>
          </w:tcPr>
          <w:p w:rsidR="00A87B94" w:rsidRDefault="007447B0">
            <w:pPr>
              <w:spacing w:after="0" w:line="240" w:lineRule="auto"/>
            </w:pPr>
            <w:r>
              <w:rPr>
                <w:b/>
              </w:rPr>
              <w:t>Naziv obveznika</w:t>
            </w:r>
          </w:p>
        </w:tc>
        <w:tc>
          <w:tcPr>
            <w:tcW w:w="0" w:type="auto"/>
            <w:shd w:val="clear" w:color="auto" w:fill="E7F0F9"/>
          </w:tcPr>
          <w:p w:rsidR="00A87B94" w:rsidRDefault="007447B0">
            <w:pPr>
              <w:spacing w:after="0" w:line="240" w:lineRule="auto"/>
            </w:pPr>
            <w:r>
              <w:t xml:space="preserve">PRVA EKONOMSKA ŠKOLA </w:t>
            </w:r>
          </w:p>
        </w:tc>
      </w:tr>
      <w:tr w:rsidR="00A87B94">
        <w:tblPrEx>
          <w:tblCellMar>
            <w:top w:w="0" w:type="dxa"/>
            <w:bottom w:w="0" w:type="dxa"/>
          </w:tblCellMar>
        </w:tblPrEx>
        <w:trPr>
          <w:tblCellSpacing w:w="60" w:type="dxa"/>
        </w:trPr>
        <w:tc>
          <w:tcPr>
            <w:tcW w:w="1200" w:type="pct"/>
            <w:shd w:val="clear" w:color="auto" w:fill="E7F0F9"/>
          </w:tcPr>
          <w:p w:rsidR="00A87B94" w:rsidRDefault="007447B0">
            <w:pPr>
              <w:spacing w:after="0" w:line="240" w:lineRule="auto"/>
            </w:pPr>
            <w:r>
              <w:rPr>
                <w:b/>
              </w:rPr>
              <w:t>Razina</w:t>
            </w:r>
          </w:p>
        </w:tc>
        <w:tc>
          <w:tcPr>
            <w:tcW w:w="0" w:type="auto"/>
            <w:shd w:val="clear" w:color="auto" w:fill="E7F0F9"/>
          </w:tcPr>
          <w:p w:rsidR="00A87B94" w:rsidRDefault="007447B0">
            <w:pPr>
              <w:spacing w:after="0" w:line="240" w:lineRule="auto"/>
            </w:pPr>
            <w:r>
              <w:t>31</w:t>
            </w:r>
          </w:p>
        </w:tc>
      </w:tr>
    </w:tbl>
    <w:p w:rsidR="00A87B94" w:rsidRDefault="007447B0">
      <w:r>
        <w:br/>
      </w:r>
    </w:p>
    <w:p w:rsidR="00A87B94" w:rsidRDefault="007447B0">
      <w:pPr>
        <w:spacing w:line="240" w:lineRule="auto"/>
        <w:jc w:val="center"/>
      </w:pPr>
      <w:r>
        <w:rPr>
          <w:b/>
          <w:sz w:val="28"/>
        </w:rPr>
        <w:t>BILJEŠKE UZ FINANCIJSKE IZVJEŠTAJE</w:t>
      </w:r>
    </w:p>
    <w:p w:rsidR="00A87B94" w:rsidRDefault="007447B0">
      <w:pPr>
        <w:spacing w:line="240" w:lineRule="auto"/>
        <w:jc w:val="center"/>
      </w:pPr>
      <w:r>
        <w:rPr>
          <w:b/>
          <w:sz w:val="28"/>
        </w:rPr>
        <w:t>ZA RAZDOBLJE</w:t>
      </w:r>
    </w:p>
    <w:p w:rsidR="00A87B94" w:rsidRDefault="007447B0">
      <w:pPr>
        <w:spacing w:line="240" w:lineRule="auto"/>
        <w:jc w:val="center"/>
      </w:pPr>
      <w:r>
        <w:rPr>
          <w:b/>
          <w:sz w:val="28"/>
        </w:rPr>
        <w:t>I - XII 2025.</w:t>
      </w:r>
    </w:p>
    <w:p w:rsidR="00A87B94" w:rsidRDefault="00A87B94"/>
    <w:p w:rsidR="00A87B94" w:rsidRDefault="007447B0">
      <w:pPr>
        <w:keepNext/>
        <w:spacing w:line="240" w:lineRule="auto"/>
        <w:jc w:val="center"/>
      </w:pPr>
      <w:r>
        <w:rPr>
          <w:b/>
          <w:sz w:val="28"/>
        </w:rPr>
        <w:t>Izvještaj o prihodima i rashodima, primicima i izdacima</w:t>
      </w:r>
    </w:p>
    <w:p w:rsidR="00A87B94" w:rsidRDefault="007447B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6</w:t>
            </w:r>
          </w:p>
        </w:tc>
        <w:tc>
          <w:tcPr>
            <w:tcW w:w="3180" w:type="dxa"/>
            <w:tcMar>
              <w:top w:w="0" w:type="dxa"/>
              <w:bottom w:w="0" w:type="dxa"/>
            </w:tcMar>
            <w:vAlign w:val="center"/>
          </w:tcPr>
          <w:p w:rsidR="00A87B94" w:rsidRDefault="007447B0">
            <w:pPr>
              <w:keepNext/>
              <w:keepLines/>
              <w:spacing w:after="0" w:line="240" w:lineRule="auto"/>
            </w:pPr>
            <w:r>
              <w:rPr>
                <w:sz w:val="18"/>
              </w:rPr>
              <w:t>PRIHODI POSLOVANJA (šifre 61+62+63+64+65+66+67+68)</w:t>
            </w:r>
          </w:p>
        </w:tc>
        <w:tc>
          <w:tcPr>
            <w:tcW w:w="700" w:type="dxa"/>
            <w:tcMar>
              <w:top w:w="0" w:type="dxa"/>
              <w:bottom w:w="0" w:type="dxa"/>
            </w:tcMar>
            <w:vAlign w:val="center"/>
          </w:tcPr>
          <w:p w:rsidR="00A87B94" w:rsidRDefault="007447B0">
            <w:pPr>
              <w:keepNext/>
              <w:keepLines/>
              <w:spacing w:after="0" w:line="240" w:lineRule="auto"/>
            </w:pPr>
            <w:r>
              <w:rPr>
                <w:sz w:val="18"/>
              </w:rPr>
              <w:t>6</w:t>
            </w:r>
          </w:p>
        </w:tc>
        <w:tc>
          <w:tcPr>
            <w:tcW w:w="1860" w:type="dxa"/>
            <w:tcMar>
              <w:top w:w="0" w:type="dxa"/>
              <w:bottom w:w="0" w:type="dxa"/>
            </w:tcMar>
            <w:vAlign w:val="center"/>
          </w:tcPr>
          <w:p w:rsidR="00A87B94" w:rsidRDefault="007447B0">
            <w:pPr>
              <w:keepNext/>
              <w:keepLines/>
              <w:spacing w:after="0" w:line="240" w:lineRule="auto"/>
              <w:jc w:val="right"/>
            </w:pPr>
            <w:r>
              <w:rPr>
                <w:sz w:val="18"/>
              </w:rPr>
              <w:t>3.334.150,70</w:t>
            </w:r>
          </w:p>
        </w:tc>
        <w:tc>
          <w:tcPr>
            <w:tcW w:w="1860" w:type="dxa"/>
            <w:tcMar>
              <w:top w:w="0" w:type="dxa"/>
              <w:bottom w:w="0" w:type="dxa"/>
            </w:tcMar>
            <w:vAlign w:val="center"/>
          </w:tcPr>
          <w:p w:rsidR="00A87B94" w:rsidRDefault="007447B0">
            <w:pPr>
              <w:keepNext/>
              <w:keepLines/>
              <w:spacing w:after="0" w:line="240" w:lineRule="auto"/>
              <w:jc w:val="right"/>
            </w:pPr>
            <w:r>
              <w:rPr>
                <w:sz w:val="18"/>
              </w:rPr>
              <w:t>3.532.780,96</w:t>
            </w:r>
          </w:p>
        </w:tc>
        <w:tc>
          <w:tcPr>
            <w:tcW w:w="700" w:type="dxa"/>
            <w:tcMar>
              <w:top w:w="0" w:type="dxa"/>
              <w:bottom w:w="0" w:type="dxa"/>
            </w:tcMar>
            <w:vAlign w:val="center"/>
          </w:tcPr>
          <w:p w:rsidR="00A87B94" w:rsidRDefault="007447B0">
            <w:pPr>
              <w:keepNext/>
              <w:keepLines/>
              <w:spacing w:after="0" w:line="240" w:lineRule="auto"/>
              <w:jc w:val="right"/>
            </w:pPr>
            <w:r>
              <w:rPr>
                <w:sz w:val="18"/>
              </w:rPr>
              <w:t>106,0</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w:t>
            </w:r>
          </w:p>
        </w:tc>
        <w:tc>
          <w:tcPr>
            <w:tcW w:w="3180" w:type="dxa"/>
            <w:tcMar>
              <w:top w:w="0" w:type="dxa"/>
              <w:bottom w:w="0" w:type="dxa"/>
            </w:tcMar>
            <w:vAlign w:val="center"/>
          </w:tcPr>
          <w:p w:rsidR="00A87B94" w:rsidRDefault="007447B0">
            <w:pPr>
              <w:keepNext/>
              <w:keepLines/>
              <w:spacing w:after="0" w:line="240" w:lineRule="auto"/>
            </w:pPr>
            <w:r>
              <w:rPr>
                <w:sz w:val="18"/>
              </w:rPr>
              <w:t>RASHODI POSLOVANJA (šifre 31+32+34+35+36+37+38)</w:t>
            </w:r>
          </w:p>
        </w:tc>
        <w:tc>
          <w:tcPr>
            <w:tcW w:w="700" w:type="dxa"/>
            <w:tcMar>
              <w:top w:w="0" w:type="dxa"/>
              <w:bottom w:w="0" w:type="dxa"/>
            </w:tcMar>
            <w:vAlign w:val="center"/>
          </w:tcPr>
          <w:p w:rsidR="00A87B94" w:rsidRDefault="007447B0">
            <w:pPr>
              <w:keepNext/>
              <w:keepLines/>
              <w:spacing w:after="0" w:line="240" w:lineRule="auto"/>
            </w:pPr>
            <w:r>
              <w:rPr>
                <w:sz w:val="18"/>
              </w:rPr>
              <w:t>3</w:t>
            </w:r>
          </w:p>
        </w:tc>
        <w:tc>
          <w:tcPr>
            <w:tcW w:w="1860" w:type="dxa"/>
            <w:tcMar>
              <w:top w:w="0" w:type="dxa"/>
              <w:bottom w:w="0" w:type="dxa"/>
            </w:tcMar>
            <w:vAlign w:val="center"/>
          </w:tcPr>
          <w:p w:rsidR="00A87B94" w:rsidRDefault="007447B0">
            <w:pPr>
              <w:keepNext/>
              <w:keepLines/>
              <w:spacing w:after="0" w:line="240" w:lineRule="auto"/>
              <w:jc w:val="right"/>
            </w:pPr>
            <w:r>
              <w:rPr>
                <w:sz w:val="18"/>
              </w:rPr>
              <w:t>3.236.840,74</w:t>
            </w:r>
          </w:p>
        </w:tc>
        <w:tc>
          <w:tcPr>
            <w:tcW w:w="1860" w:type="dxa"/>
            <w:tcMar>
              <w:top w:w="0" w:type="dxa"/>
              <w:bottom w:w="0" w:type="dxa"/>
            </w:tcMar>
            <w:vAlign w:val="center"/>
          </w:tcPr>
          <w:p w:rsidR="00A87B94" w:rsidRDefault="007447B0">
            <w:pPr>
              <w:keepNext/>
              <w:keepLines/>
              <w:spacing w:after="0" w:line="240" w:lineRule="auto"/>
              <w:jc w:val="right"/>
            </w:pPr>
            <w:r>
              <w:rPr>
                <w:sz w:val="18"/>
              </w:rPr>
              <w:t>3.821.972,42</w:t>
            </w:r>
          </w:p>
        </w:tc>
        <w:tc>
          <w:tcPr>
            <w:tcW w:w="700" w:type="dxa"/>
            <w:tcMar>
              <w:top w:w="0" w:type="dxa"/>
              <w:bottom w:w="0" w:type="dxa"/>
            </w:tcMar>
            <w:vAlign w:val="center"/>
          </w:tcPr>
          <w:p w:rsidR="00A87B94" w:rsidRDefault="007447B0">
            <w:pPr>
              <w:keepNext/>
              <w:keepLines/>
              <w:spacing w:after="0" w:line="240" w:lineRule="auto"/>
              <w:jc w:val="right"/>
            </w:pPr>
            <w:r>
              <w:rPr>
                <w:sz w:val="18"/>
              </w:rPr>
              <w:t>118,1</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b/>
                <w:sz w:val="18"/>
              </w:rPr>
              <w:t>MANJAK PRIHODA POSLOVANJA (šifre Z005-6)</w:t>
            </w:r>
          </w:p>
        </w:tc>
        <w:tc>
          <w:tcPr>
            <w:tcW w:w="700" w:type="dxa"/>
            <w:tcMar>
              <w:top w:w="0" w:type="dxa"/>
              <w:bottom w:w="0" w:type="dxa"/>
            </w:tcMar>
            <w:vAlign w:val="center"/>
          </w:tcPr>
          <w:p w:rsidR="00A87B94" w:rsidRDefault="007447B0">
            <w:pPr>
              <w:keepNext/>
              <w:keepLines/>
              <w:spacing w:after="0" w:line="240" w:lineRule="auto"/>
            </w:pPr>
            <w:r>
              <w:rPr>
                <w:b/>
                <w:sz w:val="18"/>
              </w:rPr>
              <w:t>Y001</w:t>
            </w:r>
          </w:p>
        </w:tc>
        <w:tc>
          <w:tcPr>
            <w:tcW w:w="1860" w:type="dxa"/>
            <w:tcMar>
              <w:top w:w="0" w:type="dxa"/>
              <w:bottom w:w="0" w:type="dxa"/>
            </w:tcMar>
            <w:vAlign w:val="center"/>
          </w:tcPr>
          <w:p w:rsidR="00A87B94" w:rsidRDefault="007447B0">
            <w:pPr>
              <w:keepNext/>
              <w:keepLines/>
              <w:spacing w:after="0" w:line="240" w:lineRule="auto"/>
              <w:jc w:val="right"/>
            </w:pPr>
            <w:r>
              <w:rPr>
                <w:b/>
                <w:sz w:val="18"/>
              </w:rPr>
              <w:t>0,00</w:t>
            </w:r>
          </w:p>
        </w:tc>
        <w:tc>
          <w:tcPr>
            <w:tcW w:w="1860" w:type="dxa"/>
            <w:tcMar>
              <w:top w:w="0" w:type="dxa"/>
              <w:bottom w:w="0" w:type="dxa"/>
            </w:tcMar>
            <w:vAlign w:val="center"/>
          </w:tcPr>
          <w:p w:rsidR="00A87B94" w:rsidRDefault="007447B0">
            <w:pPr>
              <w:keepNext/>
              <w:keepLines/>
              <w:spacing w:after="0" w:line="240" w:lineRule="auto"/>
              <w:jc w:val="right"/>
            </w:pPr>
            <w:r>
              <w:rPr>
                <w:b/>
                <w:sz w:val="18"/>
              </w:rPr>
              <w:t>289.191,46</w:t>
            </w:r>
          </w:p>
        </w:tc>
        <w:tc>
          <w:tcPr>
            <w:tcW w:w="700" w:type="dxa"/>
            <w:tcMar>
              <w:top w:w="0" w:type="dxa"/>
              <w:bottom w:w="0" w:type="dxa"/>
            </w:tcMar>
            <w:vAlign w:val="center"/>
          </w:tcPr>
          <w:p w:rsidR="00A87B94" w:rsidRDefault="007447B0">
            <w:pPr>
              <w:keepNext/>
              <w:keepLines/>
              <w:spacing w:after="0" w:line="240" w:lineRule="auto"/>
              <w:jc w:val="right"/>
            </w:pPr>
            <w:r>
              <w:rPr>
                <w:b/>
                <w:sz w:val="18"/>
              </w:rPr>
              <w:t>-</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7</w:t>
            </w:r>
          </w:p>
        </w:tc>
        <w:tc>
          <w:tcPr>
            <w:tcW w:w="3180" w:type="dxa"/>
            <w:tcMar>
              <w:top w:w="0" w:type="dxa"/>
              <w:bottom w:w="0" w:type="dxa"/>
            </w:tcMar>
            <w:vAlign w:val="center"/>
          </w:tcPr>
          <w:p w:rsidR="00A87B94" w:rsidRDefault="007447B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A87B94" w:rsidRDefault="007447B0">
            <w:pPr>
              <w:keepNext/>
              <w:keepLines/>
              <w:spacing w:after="0" w:line="240" w:lineRule="auto"/>
            </w:pPr>
            <w:r>
              <w:rPr>
                <w:sz w:val="18"/>
              </w:rPr>
              <w:t>7</w:t>
            </w:r>
          </w:p>
        </w:tc>
        <w:tc>
          <w:tcPr>
            <w:tcW w:w="1860" w:type="dxa"/>
            <w:tcMar>
              <w:top w:w="0" w:type="dxa"/>
              <w:bottom w:w="0" w:type="dxa"/>
            </w:tcMar>
            <w:vAlign w:val="center"/>
          </w:tcPr>
          <w:p w:rsidR="00A87B94" w:rsidRDefault="007447B0">
            <w:pPr>
              <w:keepNext/>
              <w:keepLines/>
              <w:spacing w:after="0" w:line="240" w:lineRule="auto"/>
              <w:jc w:val="right"/>
            </w:pPr>
            <w:r>
              <w:rPr>
                <w:sz w:val="18"/>
              </w:rPr>
              <w:t>66,20</w:t>
            </w:r>
          </w:p>
        </w:tc>
        <w:tc>
          <w:tcPr>
            <w:tcW w:w="1860" w:type="dxa"/>
            <w:tcMar>
              <w:top w:w="0" w:type="dxa"/>
              <w:bottom w:w="0" w:type="dxa"/>
            </w:tcMar>
            <w:vAlign w:val="center"/>
          </w:tcPr>
          <w:p w:rsidR="00A87B94" w:rsidRDefault="007447B0">
            <w:pPr>
              <w:keepNext/>
              <w:keepLines/>
              <w:spacing w:after="0" w:line="240" w:lineRule="auto"/>
              <w:jc w:val="right"/>
            </w:pPr>
            <w:r>
              <w:rPr>
                <w:sz w:val="18"/>
              </w:rPr>
              <w:t>132,38</w:t>
            </w:r>
          </w:p>
        </w:tc>
        <w:tc>
          <w:tcPr>
            <w:tcW w:w="700" w:type="dxa"/>
            <w:tcMar>
              <w:top w:w="0" w:type="dxa"/>
              <w:bottom w:w="0" w:type="dxa"/>
            </w:tcMar>
            <w:vAlign w:val="center"/>
          </w:tcPr>
          <w:p w:rsidR="00A87B94" w:rsidRDefault="007447B0">
            <w:pPr>
              <w:keepNext/>
              <w:keepLines/>
              <w:spacing w:after="0" w:line="240" w:lineRule="auto"/>
              <w:jc w:val="right"/>
            </w:pPr>
            <w:r>
              <w:rPr>
                <w:sz w:val="18"/>
              </w:rPr>
              <w:t>200,0</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4</w:t>
            </w:r>
          </w:p>
        </w:tc>
        <w:tc>
          <w:tcPr>
            <w:tcW w:w="3180" w:type="dxa"/>
            <w:tcMar>
              <w:top w:w="0" w:type="dxa"/>
              <w:bottom w:w="0" w:type="dxa"/>
            </w:tcMar>
            <w:vAlign w:val="center"/>
          </w:tcPr>
          <w:p w:rsidR="00A87B94" w:rsidRDefault="007447B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87B94" w:rsidRDefault="007447B0">
            <w:pPr>
              <w:keepNext/>
              <w:keepLines/>
              <w:spacing w:after="0" w:line="240" w:lineRule="auto"/>
            </w:pPr>
            <w:r>
              <w:rPr>
                <w:sz w:val="18"/>
              </w:rPr>
              <w:t>4</w:t>
            </w:r>
          </w:p>
        </w:tc>
        <w:tc>
          <w:tcPr>
            <w:tcW w:w="1860" w:type="dxa"/>
            <w:tcMar>
              <w:top w:w="0" w:type="dxa"/>
              <w:bottom w:w="0" w:type="dxa"/>
            </w:tcMar>
            <w:vAlign w:val="center"/>
          </w:tcPr>
          <w:p w:rsidR="00A87B94" w:rsidRDefault="007447B0">
            <w:pPr>
              <w:keepNext/>
              <w:keepLines/>
              <w:spacing w:after="0" w:line="240" w:lineRule="auto"/>
              <w:jc w:val="right"/>
            </w:pPr>
            <w:r>
              <w:rPr>
                <w:sz w:val="18"/>
              </w:rPr>
              <w:t>29.970,75</w:t>
            </w:r>
          </w:p>
        </w:tc>
        <w:tc>
          <w:tcPr>
            <w:tcW w:w="1860" w:type="dxa"/>
            <w:tcMar>
              <w:top w:w="0" w:type="dxa"/>
              <w:bottom w:w="0" w:type="dxa"/>
            </w:tcMar>
            <w:vAlign w:val="center"/>
          </w:tcPr>
          <w:p w:rsidR="00A87B94" w:rsidRDefault="007447B0">
            <w:pPr>
              <w:keepNext/>
              <w:keepLines/>
              <w:spacing w:after="0" w:line="240" w:lineRule="auto"/>
              <w:jc w:val="right"/>
            </w:pPr>
            <w:r>
              <w:rPr>
                <w:sz w:val="18"/>
              </w:rPr>
              <w:t>88.200,28</w:t>
            </w:r>
          </w:p>
        </w:tc>
        <w:tc>
          <w:tcPr>
            <w:tcW w:w="700" w:type="dxa"/>
            <w:tcMar>
              <w:top w:w="0" w:type="dxa"/>
              <w:bottom w:w="0" w:type="dxa"/>
            </w:tcMar>
            <w:vAlign w:val="center"/>
          </w:tcPr>
          <w:p w:rsidR="00A87B94" w:rsidRDefault="007447B0">
            <w:pPr>
              <w:keepNext/>
              <w:keepLines/>
              <w:spacing w:after="0" w:line="240" w:lineRule="auto"/>
              <w:jc w:val="right"/>
            </w:pPr>
            <w:r>
              <w:rPr>
                <w:sz w:val="18"/>
              </w:rPr>
              <w:t>294,3</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A87B94" w:rsidRDefault="007447B0">
            <w:pPr>
              <w:keepNext/>
              <w:keepLines/>
              <w:spacing w:after="0" w:line="240" w:lineRule="auto"/>
            </w:pPr>
            <w:r>
              <w:rPr>
                <w:b/>
                <w:sz w:val="18"/>
              </w:rPr>
              <w:t>Y002</w:t>
            </w:r>
          </w:p>
        </w:tc>
        <w:tc>
          <w:tcPr>
            <w:tcW w:w="1860" w:type="dxa"/>
            <w:tcMar>
              <w:top w:w="0" w:type="dxa"/>
              <w:bottom w:w="0" w:type="dxa"/>
            </w:tcMar>
            <w:vAlign w:val="center"/>
          </w:tcPr>
          <w:p w:rsidR="00A87B94" w:rsidRDefault="007447B0">
            <w:pPr>
              <w:keepNext/>
              <w:keepLines/>
              <w:spacing w:after="0" w:line="240" w:lineRule="auto"/>
              <w:jc w:val="right"/>
            </w:pPr>
            <w:r>
              <w:rPr>
                <w:b/>
                <w:sz w:val="18"/>
              </w:rPr>
              <w:t>29.904,55</w:t>
            </w:r>
          </w:p>
        </w:tc>
        <w:tc>
          <w:tcPr>
            <w:tcW w:w="1860" w:type="dxa"/>
            <w:tcMar>
              <w:top w:w="0" w:type="dxa"/>
              <w:bottom w:w="0" w:type="dxa"/>
            </w:tcMar>
            <w:vAlign w:val="center"/>
          </w:tcPr>
          <w:p w:rsidR="00A87B94" w:rsidRDefault="007447B0">
            <w:pPr>
              <w:keepNext/>
              <w:keepLines/>
              <w:spacing w:after="0" w:line="240" w:lineRule="auto"/>
              <w:jc w:val="right"/>
            </w:pPr>
            <w:r>
              <w:rPr>
                <w:b/>
                <w:sz w:val="18"/>
              </w:rPr>
              <w:t>88.067,90</w:t>
            </w:r>
          </w:p>
        </w:tc>
        <w:tc>
          <w:tcPr>
            <w:tcW w:w="700" w:type="dxa"/>
            <w:tcMar>
              <w:top w:w="0" w:type="dxa"/>
              <w:bottom w:w="0" w:type="dxa"/>
            </w:tcMar>
            <w:vAlign w:val="center"/>
          </w:tcPr>
          <w:p w:rsidR="00A87B94" w:rsidRDefault="007447B0">
            <w:pPr>
              <w:keepNext/>
              <w:keepLines/>
              <w:spacing w:after="0" w:line="240" w:lineRule="auto"/>
              <w:jc w:val="right"/>
            </w:pPr>
            <w:r>
              <w:rPr>
                <w:b/>
                <w:sz w:val="18"/>
              </w:rPr>
              <w:t>294,5</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8</w:t>
            </w:r>
          </w:p>
        </w:tc>
        <w:tc>
          <w:tcPr>
            <w:tcW w:w="3180" w:type="dxa"/>
            <w:tcMar>
              <w:top w:w="0" w:type="dxa"/>
              <w:bottom w:w="0" w:type="dxa"/>
            </w:tcMar>
            <w:vAlign w:val="center"/>
          </w:tcPr>
          <w:p w:rsidR="00A87B94" w:rsidRDefault="007447B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A87B94" w:rsidRDefault="007447B0">
            <w:pPr>
              <w:keepNext/>
              <w:keepLines/>
              <w:spacing w:after="0" w:line="240" w:lineRule="auto"/>
            </w:pPr>
            <w:r>
              <w:rPr>
                <w:sz w:val="18"/>
              </w:rPr>
              <w:t>8</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5</w:t>
            </w:r>
          </w:p>
        </w:tc>
        <w:tc>
          <w:tcPr>
            <w:tcW w:w="3180" w:type="dxa"/>
            <w:tcMar>
              <w:top w:w="0" w:type="dxa"/>
              <w:bottom w:w="0" w:type="dxa"/>
            </w:tcMar>
            <w:vAlign w:val="center"/>
          </w:tcPr>
          <w:p w:rsidR="00A87B94" w:rsidRDefault="007447B0">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A87B94" w:rsidRDefault="007447B0">
            <w:pPr>
              <w:keepNext/>
              <w:keepLines/>
              <w:spacing w:after="0" w:line="240" w:lineRule="auto"/>
            </w:pPr>
            <w:r>
              <w:rPr>
                <w:sz w:val="18"/>
              </w:rPr>
              <w:t>5</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A87B94" w:rsidRDefault="007447B0">
            <w:pPr>
              <w:keepNext/>
              <w:keepLines/>
              <w:spacing w:after="0" w:line="240" w:lineRule="auto"/>
            </w:pPr>
            <w:r>
              <w:rPr>
                <w:b/>
                <w:sz w:val="18"/>
              </w:rPr>
              <w:t>X003, Y003</w:t>
            </w:r>
          </w:p>
        </w:tc>
        <w:tc>
          <w:tcPr>
            <w:tcW w:w="1860" w:type="dxa"/>
            <w:tcMar>
              <w:top w:w="0" w:type="dxa"/>
              <w:bottom w:w="0" w:type="dxa"/>
            </w:tcMar>
            <w:vAlign w:val="center"/>
          </w:tcPr>
          <w:p w:rsidR="00A87B94" w:rsidRDefault="007447B0">
            <w:pPr>
              <w:keepNext/>
              <w:keepLines/>
              <w:spacing w:after="0" w:line="240" w:lineRule="auto"/>
              <w:jc w:val="right"/>
            </w:pPr>
            <w:r>
              <w:rPr>
                <w:b/>
                <w:sz w:val="18"/>
              </w:rPr>
              <w:t>0,00</w:t>
            </w:r>
          </w:p>
        </w:tc>
        <w:tc>
          <w:tcPr>
            <w:tcW w:w="1860" w:type="dxa"/>
            <w:tcMar>
              <w:top w:w="0" w:type="dxa"/>
              <w:bottom w:w="0" w:type="dxa"/>
            </w:tcMar>
            <w:vAlign w:val="center"/>
          </w:tcPr>
          <w:p w:rsidR="00A87B94" w:rsidRDefault="007447B0">
            <w:pPr>
              <w:keepNext/>
              <w:keepLines/>
              <w:spacing w:after="0" w:line="240" w:lineRule="auto"/>
              <w:jc w:val="right"/>
            </w:pPr>
            <w:r>
              <w:rPr>
                <w:b/>
                <w:sz w:val="18"/>
              </w:rPr>
              <w:t>0,00</w:t>
            </w:r>
          </w:p>
        </w:tc>
        <w:tc>
          <w:tcPr>
            <w:tcW w:w="700" w:type="dxa"/>
            <w:tcMar>
              <w:top w:w="0" w:type="dxa"/>
              <w:bottom w:w="0" w:type="dxa"/>
            </w:tcMar>
            <w:vAlign w:val="center"/>
          </w:tcPr>
          <w:p w:rsidR="00A87B94" w:rsidRDefault="007447B0">
            <w:pPr>
              <w:keepNext/>
              <w:keepLines/>
              <w:spacing w:after="0" w:line="240" w:lineRule="auto"/>
              <w:jc w:val="right"/>
            </w:pPr>
            <w:r>
              <w:rPr>
                <w:b/>
                <w:sz w:val="18"/>
              </w:rPr>
              <w:t>-</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b/>
                <w:sz w:val="18"/>
              </w:rPr>
              <w:t>MANJAK PRIHODA I PRIMITAKA (šifre Y345-X678)</w:t>
            </w:r>
          </w:p>
        </w:tc>
        <w:tc>
          <w:tcPr>
            <w:tcW w:w="700" w:type="dxa"/>
            <w:tcMar>
              <w:top w:w="0" w:type="dxa"/>
              <w:bottom w:w="0" w:type="dxa"/>
            </w:tcMar>
            <w:vAlign w:val="center"/>
          </w:tcPr>
          <w:p w:rsidR="00A87B94" w:rsidRDefault="007447B0">
            <w:pPr>
              <w:keepNext/>
              <w:keepLines/>
              <w:spacing w:after="0" w:line="240" w:lineRule="auto"/>
            </w:pPr>
            <w:r>
              <w:rPr>
                <w:b/>
                <w:sz w:val="18"/>
              </w:rPr>
              <w:t>Y005</w:t>
            </w:r>
          </w:p>
        </w:tc>
        <w:tc>
          <w:tcPr>
            <w:tcW w:w="1860" w:type="dxa"/>
            <w:tcMar>
              <w:top w:w="0" w:type="dxa"/>
              <w:bottom w:w="0" w:type="dxa"/>
            </w:tcMar>
            <w:vAlign w:val="center"/>
          </w:tcPr>
          <w:p w:rsidR="00A87B94" w:rsidRDefault="007447B0">
            <w:pPr>
              <w:keepNext/>
              <w:keepLines/>
              <w:spacing w:after="0" w:line="240" w:lineRule="auto"/>
              <w:jc w:val="right"/>
            </w:pPr>
            <w:r>
              <w:rPr>
                <w:b/>
                <w:sz w:val="18"/>
              </w:rPr>
              <w:t>0,00</w:t>
            </w:r>
          </w:p>
        </w:tc>
        <w:tc>
          <w:tcPr>
            <w:tcW w:w="1860" w:type="dxa"/>
            <w:tcMar>
              <w:top w:w="0" w:type="dxa"/>
              <w:bottom w:w="0" w:type="dxa"/>
            </w:tcMar>
            <w:vAlign w:val="center"/>
          </w:tcPr>
          <w:p w:rsidR="00A87B94" w:rsidRDefault="007447B0">
            <w:pPr>
              <w:keepNext/>
              <w:keepLines/>
              <w:spacing w:after="0" w:line="240" w:lineRule="auto"/>
              <w:jc w:val="right"/>
            </w:pPr>
            <w:r>
              <w:rPr>
                <w:b/>
                <w:sz w:val="18"/>
              </w:rPr>
              <w:t>377.259,36</w:t>
            </w:r>
          </w:p>
        </w:tc>
        <w:tc>
          <w:tcPr>
            <w:tcW w:w="700" w:type="dxa"/>
            <w:tcMar>
              <w:top w:w="0" w:type="dxa"/>
              <w:bottom w:w="0" w:type="dxa"/>
            </w:tcMar>
            <w:vAlign w:val="center"/>
          </w:tcPr>
          <w:p w:rsidR="00A87B94" w:rsidRDefault="007447B0">
            <w:pPr>
              <w:keepNext/>
              <w:keepLines/>
              <w:spacing w:after="0" w:line="240" w:lineRule="auto"/>
              <w:jc w:val="right"/>
            </w:pPr>
            <w:r>
              <w:rPr>
                <w:b/>
                <w:sz w:val="18"/>
              </w:rPr>
              <w:t>-</w:t>
            </w:r>
          </w:p>
        </w:tc>
      </w:tr>
    </w:tbl>
    <w:p w:rsidR="00A87B94" w:rsidRDefault="00A87B94">
      <w:pPr>
        <w:spacing w:after="0"/>
      </w:pPr>
    </w:p>
    <w:p w:rsidR="00A87B94" w:rsidRDefault="007447B0">
      <w:r>
        <w:t>U razdoblju od 1. siječnja do 31. prosinca prihodi poslovanja ostvareni su u iznosu od 3.532.780,96 EUR. Najznačajnije povećanje prihoda poslovanja bilježi se na Prihodima iz nadležnog proračuna  i od HZZO-a na temelju ugovorenih obveza (67). Najznačajnije</w:t>
      </w:r>
      <w:r>
        <w:t xml:space="preserve"> smanjenje prihoda poslovanja zabilježeno je na Pomoći temeljem prijenosa EU sredstava (638). Rashodi poslovanja u razdoblju od 1. siječnja do 31. prosinca ostvareni su u iznosu 3.821.972,42 EUR. Najznačajnije povećanje rashoda bilježi se na rashodima za n</w:t>
      </w:r>
      <w:r>
        <w:t xml:space="preserve">aknadu troškova osobama izvan radnog odnosa (324) zbog provođenja projekta u okviru programa </w:t>
      </w:r>
      <w:proofErr w:type="spellStart"/>
      <w:r>
        <w:lastRenderedPageBreak/>
        <w:t>Erasmus</w:t>
      </w:r>
      <w:proofErr w:type="spellEnd"/>
      <w:r>
        <w:t>+. Najznačajnije smanjenje rashoda  poslovanja  evidentirano je na Ostalim nespomenutim rashodima (329) i na Ostalim financijskim rashodima (343) zbog smanj</w:t>
      </w:r>
      <w:r>
        <w:t xml:space="preserve">enja troškova sudskih postupaka. U izvještajnom razdoblju ostvareni su prihodi od prodaje nefinancijske imovine u iznosu 132,28 EUR. Rashodi za nabavu nefinancijske imovine ostvareni su u iznosu 88.200,28 EUR. Rashodi se odnose na nabavu udžbenika, knjiga </w:t>
      </w:r>
      <w:r>
        <w:t>za školsku knjižnicu, zavjesa, uredske opreme i namještaja, ploča i opreme za školsku dvoranu. U navedenom razdoblju nije bilo ostvarenih primitaka i izdataka od financijske imovine i zaduživanja. U razdoblju od 1. siječnja do 31.prosinca 2025. godine ostv</w:t>
      </w:r>
      <w:r>
        <w:t xml:space="preserve">aren je manjak prihoda poslovanja u iznosu 289.191,46 EUR i manjak prihoda od nefinancijske imovine u iznosu 88.067,90 EUR. Na kraju izvještajnog razdoblja ostvaren je ukupan manjak prihoda u iznosu 377.259,36 EUR. Preneseni višak prihoda iznosi 56.596,56 </w:t>
      </w:r>
      <w:r>
        <w:t>eura.  Na ostvarenje manjka prihoda najvećim dijelom utjecala je primjena novog Pravilnika o proračunskom računovodstvu i primjena Upute za računovodstveno evidentiranje sredstava Europske unije. </w:t>
      </w:r>
    </w:p>
    <w:p w:rsidR="00A87B94" w:rsidRDefault="007447B0">
      <w:r>
        <w:t> </w:t>
      </w:r>
    </w:p>
    <w:p w:rsidR="00A87B94" w:rsidRDefault="007447B0">
      <w:r>
        <w:t> </w:t>
      </w:r>
    </w:p>
    <w:p w:rsidR="00A87B94" w:rsidRDefault="007447B0">
      <w:r>
        <w:br/>
      </w:r>
    </w:p>
    <w:p w:rsidR="00A87B94" w:rsidRDefault="007447B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w:t>
            </w:r>
            <w:r>
              <w:rPr>
                <w:b/>
                <w:sz w:val="18"/>
              </w:rPr>
              <w: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6381</w:t>
            </w:r>
          </w:p>
        </w:tc>
        <w:tc>
          <w:tcPr>
            <w:tcW w:w="3180" w:type="dxa"/>
            <w:tcMar>
              <w:top w:w="0" w:type="dxa"/>
              <w:bottom w:w="0" w:type="dxa"/>
            </w:tcMar>
            <w:vAlign w:val="center"/>
          </w:tcPr>
          <w:p w:rsidR="00A87B94" w:rsidRDefault="007447B0">
            <w:pPr>
              <w:keepNext/>
              <w:keepLines/>
              <w:spacing w:after="0" w:line="240" w:lineRule="auto"/>
            </w:pPr>
            <w:r>
              <w:rPr>
                <w:sz w:val="18"/>
              </w:rPr>
              <w:t>Tekuće pomoći temeljem prijenosa EU sredstava</w:t>
            </w:r>
          </w:p>
        </w:tc>
        <w:tc>
          <w:tcPr>
            <w:tcW w:w="700" w:type="dxa"/>
            <w:tcMar>
              <w:top w:w="0" w:type="dxa"/>
              <w:bottom w:w="0" w:type="dxa"/>
            </w:tcMar>
            <w:vAlign w:val="center"/>
          </w:tcPr>
          <w:p w:rsidR="00A87B94" w:rsidRDefault="007447B0">
            <w:pPr>
              <w:keepNext/>
              <w:keepLines/>
              <w:spacing w:after="0" w:line="240" w:lineRule="auto"/>
            </w:pPr>
            <w:r>
              <w:rPr>
                <w:sz w:val="18"/>
              </w:rPr>
              <w:t>6381</w:t>
            </w:r>
          </w:p>
        </w:tc>
        <w:tc>
          <w:tcPr>
            <w:tcW w:w="1860" w:type="dxa"/>
            <w:tcMar>
              <w:top w:w="0" w:type="dxa"/>
              <w:bottom w:w="0" w:type="dxa"/>
            </w:tcMar>
            <w:vAlign w:val="center"/>
          </w:tcPr>
          <w:p w:rsidR="00A87B94" w:rsidRDefault="007447B0">
            <w:pPr>
              <w:keepNext/>
              <w:keepLines/>
              <w:spacing w:after="0" w:line="240" w:lineRule="auto"/>
              <w:jc w:val="right"/>
            </w:pPr>
            <w:r>
              <w:rPr>
                <w:sz w:val="18"/>
              </w:rPr>
              <w:t>71.056,50</w:t>
            </w:r>
          </w:p>
        </w:tc>
        <w:tc>
          <w:tcPr>
            <w:tcW w:w="1860" w:type="dxa"/>
            <w:tcMar>
              <w:top w:w="0" w:type="dxa"/>
              <w:bottom w:w="0" w:type="dxa"/>
            </w:tcMar>
            <w:vAlign w:val="center"/>
          </w:tcPr>
          <w:p w:rsidR="00A87B94" w:rsidRDefault="007447B0">
            <w:pPr>
              <w:keepNext/>
              <w:keepLines/>
              <w:spacing w:after="0" w:line="240" w:lineRule="auto"/>
              <w:jc w:val="right"/>
            </w:pPr>
            <w:r>
              <w:rPr>
                <w:sz w:val="18"/>
              </w:rPr>
              <w:t>8.829,56</w:t>
            </w:r>
          </w:p>
        </w:tc>
        <w:tc>
          <w:tcPr>
            <w:tcW w:w="700" w:type="dxa"/>
            <w:tcMar>
              <w:top w:w="0" w:type="dxa"/>
              <w:bottom w:w="0" w:type="dxa"/>
            </w:tcMar>
            <w:vAlign w:val="center"/>
          </w:tcPr>
          <w:p w:rsidR="00A87B94" w:rsidRDefault="007447B0">
            <w:pPr>
              <w:keepNext/>
              <w:keepLines/>
              <w:spacing w:after="0" w:line="240" w:lineRule="auto"/>
              <w:jc w:val="right"/>
            </w:pPr>
            <w:r>
              <w:rPr>
                <w:sz w:val="18"/>
              </w:rPr>
              <w:t>12,4</w:t>
            </w:r>
          </w:p>
        </w:tc>
      </w:tr>
    </w:tbl>
    <w:p w:rsidR="00A87B94" w:rsidRDefault="00A87B94">
      <w:pPr>
        <w:spacing w:after="0"/>
      </w:pPr>
    </w:p>
    <w:p w:rsidR="00A87B94" w:rsidRDefault="007447B0">
      <w:r>
        <w:t xml:space="preserve">Smanjenje u odnosu na prethodno razdoblje odnosi se na sredstva za provedbu aktivnosti programa ERASMUS+. 2025. godine odobreno je završno izvješće za provedenu aktivnost programa </w:t>
      </w:r>
      <w:proofErr w:type="spellStart"/>
      <w:r>
        <w:t>Erasmus</w:t>
      </w:r>
      <w:proofErr w:type="spellEnd"/>
      <w:r>
        <w:t>+ i izvršena je uplata u iznosu 8.829,56 eura.  Iznos od 70.056,50 eu</w:t>
      </w:r>
      <w:r>
        <w:t xml:space="preserve">ra koji je ostvaren u </w:t>
      </w:r>
      <w:proofErr w:type="spellStart"/>
      <w:r>
        <w:t>prehodnom</w:t>
      </w:r>
      <w:proofErr w:type="spellEnd"/>
      <w:r>
        <w:t xml:space="preserve"> razdoblju odnosi se na provedbu aktivnosti programa </w:t>
      </w:r>
      <w:proofErr w:type="spellStart"/>
      <w:r>
        <w:t>Erasmus</w:t>
      </w:r>
      <w:proofErr w:type="spellEnd"/>
      <w:r>
        <w:t>+  za ugovor sklopljen tijekom 2024. godine.</w:t>
      </w:r>
    </w:p>
    <w:p w:rsidR="00A87B94" w:rsidRDefault="00A87B94"/>
    <w:p w:rsidR="00A87B94" w:rsidRDefault="007447B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6631</w:t>
            </w:r>
          </w:p>
        </w:tc>
        <w:tc>
          <w:tcPr>
            <w:tcW w:w="3180" w:type="dxa"/>
            <w:tcMar>
              <w:top w:w="0" w:type="dxa"/>
              <w:bottom w:w="0" w:type="dxa"/>
            </w:tcMar>
            <w:vAlign w:val="center"/>
          </w:tcPr>
          <w:p w:rsidR="00A87B94" w:rsidRDefault="007447B0">
            <w:pPr>
              <w:keepNext/>
              <w:keepLines/>
              <w:spacing w:after="0" w:line="240" w:lineRule="auto"/>
            </w:pPr>
            <w:r>
              <w:rPr>
                <w:sz w:val="18"/>
              </w:rPr>
              <w:t>Tekuće donacije</w:t>
            </w:r>
          </w:p>
        </w:tc>
        <w:tc>
          <w:tcPr>
            <w:tcW w:w="700" w:type="dxa"/>
            <w:tcMar>
              <w:top w:w="0" w:type="dxa"/>
              <w:bottom w:w="0" w:type="dxa"/>
            </w:tcMar>
            <w:vAlign w:val="center"/>
          </w:tcPr>
          <w:p w:rsidR="00A87B94" w:rsidRDefault="007447B0">
            <w:pPr>
              <w:keepNext/>
              <w:keepLines/>
              <w:spacing w:after="0" w:line="240" w:lineRule="auto"/>
            </w:pPr>
            <w:r>
              <w:rPr>
                <w:sz w:val="18"/>
              </w:rPr>
              <w:t>6631</w:t>
            </w:r>
          </w:p>
        </w:tc>
        <w:tc>
          <w:tcPr>
            <w:tcW w:w="1860" w:type="dxa"/>
            <w:tcMar>
              <w:top w:w="0" w:type="dxa"/>
              <w:bottom w:w="0" w:type="dxa"/>
            </w:tcMar>
            <w:vAlign w:val="center"/>
          </w:tcPr>
          <w:p w:rsidR="00A87B94" w:rsidRDefault="007447B0">
            <w:pPr>
              <w:keepNext/>
              <w:keepLines/>
              <w:spacing w:after="0" w:line="240" w:lineRule="auto"/>
              <w:jc w:val="right"/>
            </w:pPr>
            <w:r>
              <w:rPr>
                <w:sz w:val="18"/>
              </w:rPr>
              <w:t>18.953,85</w:t>
            </w:r>
          </w:p>
        </w:tc>
        <w:tc>
          <w:tcPr>
            <w:tcW w:w="1860" w:type="dxa"/>
            <w:tcMar>
              <w:top w:w="0" w:type="dxa"/>
              <w:bottom w:w="0" w:type="dxa"/>
            </w:tcMar>
            <w:vAlign w:val="center"/>
          </w:tcPr>
          <w:p w:rsidR="00A87B94" w:rsidRDefault="007447B0">
            <w:pPr>
              <w:keepNext/>
              <w:keepLines/>
              <w:spacing w:after="0" w:line="240" w:lineRule="auto"/>
              <w:jc w:val="right"/>
            </w:pPr>
            <w:r>
              <w:rPr>
                <w:sz w:val="18"/>
              </w:rPr>
              <w:t>24.521,38</w:t>
            </w:r>
          </w:p>
        </w:tc>
        <w:tc>
          <w:tcPr>
            <w:tcW w:w="700" w:type="dxa"/>
            <w:tcMar>
              <w:top w:w="0" w:type="dxa"/>
              <w:bottom w:w="0" w:type="dxa"/>
            </w:tcMar>
            <w:vAlign w:val="center"/>
          </w:tcPr>
          <w:p w:rsidR="00A87B94" w:rsidRDefault="007447B0">
            <w:pPr>
              <w:keepNext/>
              <w:keepLines/>
              <w:spacing w:after="0" w:line="240" w:lineRule="auto"/>
              <w:jc w:val="right"/>
            </w:pPr>
            <w:r>
              <w:rPr>
                <w:sz w:val="18"/>
              </w:rPr>
              <w:t>129,4</w:t>
            </w:r>
          </w:p>
        </w:tc>
      </w:tr>
    </w:tbl>
    <w:p w:rsidR="00A87B94" w:rsidRDefault="00A87B94">
      <w:pPr>
        <w:spacing w:after="0"/>
      </w:pPr>
    </w:p>
    <w:p w:rsidR="00A87B94" w:rsidRDefault="007447B0">
      <w:r>
        <w:t>Povećanje u odnosu na prethodno razdoblje odnosi se na donacije za rashode službenih putovanja.</w:t>
      </w:r>
    </w:p>
    <w:p w:rsidR="00A87B94" w:rsidRDefault="007447B0">
      <w:r>
        <w:t> </w:t>
      </w:r>
    </w:p>
    <w:p w:rsidR="00A87B94" w:rsidRDefault="00A87B94"/>
    <w:p w:rsidR="00A87B94" w:rsidRDefault="007447B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6632</w:t>
            </w:r>
          </w:p>
        </w:tc>
        <w:tc>
          <w:tcPr>
            <w:tcW w:w="3180" w:type="dxa"/>
            <w:tcMar>
              <w:top w:w="0" w:type="dxa"/>
              <w:bottom w:w="0" w:type="dxa"/>
            </w:tcMar>
            <w:vAlign w:val="center"/>
          </w:tcPr>
          <w:p w:rsidR="00A87B94" w:rsidRDefault="007447B0">
            <w:pPr>
              <w:keepNext/>
              <w:keepLines/>
              <w:spacing w:after="0" w:line="240" w:lineRule="auto"/>
            </w:pPr>
            <w:r>
              <w:rPr>
                <w:sz w:val="18"/>
              </w:rPr>
              <w:t>Kapitalne donacije</w:t>
            </w:r>
          </w:p>
        </w:tc>
        <w:tc>
          <w:tcPr>
            <w:tcW w:w="700" w:type="dxa"/>
            <w:tcMar>
              <w:top w:w="0" w:type="dxa"/>
              <w:bottom w:w="0" w:type="dxa"/>
            </w:tcMar>
            <w:vAlign w:val="center"/>
          </w:tcPr>
          <w:p w:rsidR="00A87B94" w:rsidRDefault="007447B0">
            <w:pPr>
              <w:keepNext/>
              <w:keepLines/>
              <w:spacing w:after="0" w:line="240" w:lineRule="auto"/>
            </w:pPr>
            <w:r>
              <w:rPr>
                <w:sz w:val="18"/>
              </w:rPr>
              <w:t>6632</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449,99</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Povećanje u odnosu na prethodno razdoblje odnosi se na primljenu donaciju računala.</w:t>
      </w:r>
    </w:p>
    <w:p w:rsidR="00A87B94" w:rsidRDefault="00A87B94"/>
    <w:p w:rsidR="00A87B94" w:rsidRDefault="007447B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6712</w:t>
            </w:r>
          </w:p>
        </w:tc>
        <w:tc>
          <w:tcPr>
            <w:tcW w:w="3180" w:type="dxa"/>
            <w:tcMar>
              <w:top w:w="0" w:type="dxa"/>
              <w:bottom w:w="0" w:type="dxa"/>
            </w:tcMar>
            <w:vAlign w:val="center"/>
          </w:tcPr>
          <w:p w:rsidR="00A87B94" w:rsidRDefault="007447B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A87B94" w:rsidRDefault="007447B0">
            <w:pPr>
              <w:keepNext/>
              <w:keepLines/>
              <w:spacing w:after="0" w:line="240" w:lineRule="auto"/>
            </w:pPr>
            <w:r>
              <w:rPr>
                <w:sz w:val="18"/>
              </w:rPr>
              <w:t>6712</w:t>
            </w:r>
          </w:p>
        </w:tc>
        <w:tc>
          <w:tcPr>
            <w:tcW w:w="1860" w:type="dxa"/>
            <w:tcMar>
              <w:top w:w="0" w:type="dxa"/>
              <w:bottom w:w="0" w:type="dxa"/>
            </w:tcMar>
            <w:vAlign w:val="center"/>
          </w:tcPr>
          <w:p w:rsidR="00A87B94" w:rsidRDefault="007447B0">
            <w:pPr>
              <w:keepNext/>
              <w:keepLines/>
              <w:spacing w:after="0" w:line="240" w:lineRule="auto"/>
              <w:jc w:val="right"/>
            </w:pPr>
            <w:r>
              <w:rPr>
                <w:sz w:val="18"/>
              </w:rPr>
              <w:t>69.747,47</w:t>
            </w:r>
          </w:p>
        </w:tc>
        <w:tc>
          <w:tcPr>
            <w:tcW w:w="1860" w:type="dxa"/>
            <w:tcMar>
              <w:top w:w="0" w:type="dxa"/>
              <w:bottom w:w="0" w:type="dxa"/>
            </w:tcMar>
            <w:vAlign w:val="center"/>
          </w:tcPr>
          <w:p w:rsidR="00A87B94" w:rsidRDefault="007447B0">
            <w:pPr>
              <w:keepNext/>
              <w:keepLines/>
              <w:spacing w:after="0" w:line="240" w:lineRule="auto"/>
              <w:jc w:val="right"/>
            </w:pPr>
            <w:r>
              <w:rPr>
                <w:sz w:val="18"/>
              </w:rPr>
              <w:t>123.721,00</w:t>
            </w:r>
          </w:p>
        </w:tc>
        <w:tc>
          <w:tcPr>
            <w:tcW w:w="700" w:type="dxa"/>
            <w:tcMar>
              <w:top w:w="0" w:type="dxa"/>
              <w:bottom w:w="0" w:type="dxa"/>
            </w:tcMar>
            <w:vAlign w:val="center"/>
          </w:tcPr>
          <w:p w:rsidR="00A87B94" w:rsidRDefault="007447B0">
            <w:pPr>
              <w:keepNext/>
              <w:keepLines/>
              <w:spacing w:after="0" w:line="240" w:lineRule="auto"/>
              <w:jc w:val="right"/>
            </w:pPr>
            <w:r>
              <w:rPr>
                <w:sz w:val="18"/>
              </w:rPr>
              <w:t>177,4</w:t>
            </w:r>
          </w:p>
        </w:tc>
      </w:tr>
    </w:tbl>
    <w:p w:rsidR="00A87B94" w:rsidRDefault="00A87B94">
      <w:pPr>
        <w:spacing w:after="0"/>
      </w:pPr>
    </w:p>
    <w:p w:rsidR="00A87B94" w:rsidRDefault="007447B0">
      <w:r>
        <w:t xml:space="preserve">Povećanje prihoda u odnosu na prethodno razdoblje odnosi se na prihode </w:t>
      </w:r>
      <w:proofErr w:type="spellStart"/>
      <w:r>
        <w:t>namjenjene</w:t>
      </w:r>
      <w:proofErr w:type="spellEnd"/>
      <w:r>
        <w:t xml:space="preserve"> za  nabavu knjiga, udžbenika i opreme.</w:t>
      </w:r>
    </w:p>
    <w:p w:rsidR="00A87B94" w:rsidRDefault="00A87B94"/>
    <w:p w:rsidR="00A87B94" w:rsidRDefault="007447B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311</w:t>
            </w:r>
          </w:p>
        </w:tc>
        <w:tc>
          <w:tcPr>
            <w:tcW w:w="3180" w:type="dxa"/>
            <w:tcMar>
              <w:top w:w="0" w:type="dxa"/>
              <w:bottom w:w="0" w:type="dxa"/>
            </w:tcMar>
            <w:vAlign w:val="center"/>
          </w:tcPr>
          <w:p w:rsidR="00A87B94" w:rsidRDefault="007447B0">
            <w:pPr>
              <w:keepNext/>
              <w:keepLines/>
              <w:spacing w:after="0" w:line="240" w:lineRule="auto"/>
            </w:pPr>
            <w:r>
              <w:rPr>
                <w:sz w:val="18"/>
              </w:rPr>
              <w:t>Plaće (bruto) (šifre 3111 do 3114)</w:t>
            </w:r>
          </w:p>
        </w:tc>
        <w:tc>
          <w:tcPr>
            <w:tcW w:w="700" w:type="dxa"/>
            <w:tcMar>
              <w:top w:w="0" w:type="dxa"/>
              <w:bottom w:w="0" w:type="dxa"/>
            </w:tcMar>
            <w:vAlign w:val="center"/>
          </w:tcPr>
          <w:p w:rsidR="00A87B94" w:rsidRDefault="007447B0">
            <w:pPr>
              <w:keepNext/>
              <w:keepLines/>
              <w:spacing w:after="0" w:line="240" w:lineRule="auto"/>
            </w:pPr>
            <w:r>
              <w:rPr>
                <w:sz w:val="18"/>
              </w:rPr>
              <w:t>311</w:t>
            </w:r>
          </w:p>
        </w:tc>
        <w:tc>
          <w:tcPr>
            <w:tcW w:w="1860" w:type="dxa"/>
            <w:tcMar>
              <w:top w:w="0" w:type="dxa"/>
              <w:bottom w:w="0" w:type="dxa"/>
            </w:tcMar>
            <w:vAlign w:val="center"/>
          </w:tcPr>
          <w:p w:rsidR="00A87B94" w:rsidRDefault="007447B0">
            <w:pPr>
              <w:keepNext/>
              <w:keepLines/>
              <w:spacing w:after="0" w:line="240" w:lineRule="auto"/>
              <w:jc w:val="right"/>
            </w:pPr>
            <w:r>
              <w:rPr>
                <w:sz w:val="18"/>
              </w:rPr>
              <w:t>2.489.967,87</w:t>
            </w:r>
          </w:p>
        </w:tc>
        <w:tc>
          <w:tcPr>
            <w:tcW w:w="1860" w:type="dxa"/>
            <w:tcMar>
              <w:top w:w="0" w:type="dxa"/>
              <w:bottom w:w="0" w:type="dxa"/>
            </w:tcMar>
            <w:vAlign w:val="center"/>
          </w:tcPr>
          <w:p w:rsidR="00A87B94" w:rsidRDefault="007447B0">
            <w:pPr>
              <w:keepNext/>
              <w:keepLines/>
              <w:spacing w:after="0" w:line="240" w:lineRule="auto"/>
              <w:jc w:val="right"/>
            </w:pPr>
            <w:r>
              <w:rPr>
                <w:sz w:val="18"/>
              </w:rPr>
              <w:t>2.860.632,94</w:t>
            </w:r>
          </w:p>
        </w:tc>
        <w:tc>
          <w:tcPr>
            <w:tcW w:w="700" w:type="dxa"/>
            <w:tcMar>
              <w:top w:w="0" w:type="dxa"/>
              <w:bottom w:w="0" w:type="dxa"/>
            </w:tcMar>
            <w:vAlign w:val="center"/>
          </w:tcPr>
          <w:p w:rsidR="00A87B94" w:rsidRDefault="007447B0">
            <w:pPr>
              <w:keepNext/>
              <w:keepLines/>
              <w:spacing w:after="0" w:line="240" w:lineRule="auto"/>
              <w:jc w:val="right"/>
            </w:pPr>
            <w:r>
              <w:rPr>
                <w:sz w:val="18"/>
              </w:rPr>
              <w:t>114,9</w:t>
            </w:r>
          </w:p>
        </w:tc>
      </w:tr>
    </w:tbl>
    <w:p w:rsidR="00A87B94" w:rsidRDefault="00A87B94">
      <w:pPr>
        <w:spacing w:after="0"/>
      </w:pPr>
    </w:p>
    <w:p w:rsidR="00A87B94" w:rsidRDefault="007447B0">
      <w:r>
        <w:t xml:space="preserve">Do povećanja u odnosu na prethodno razdoblje došlo je zbog povećanja plaća, te zbog primjene novog Pravilnika o proračunskom računovodstvu kojim je propisano ukidanje podskupine računa 193-Kontinuirani rashodi budućih razdoblja. Plaća za prosinac knjižena </w:t>
      </w:r>
      <w:r>
        <w:t>je prema novom pravilniku na teret računa razreda 3, što je dovelo do povećanja rashoda pod šifrom 31.</w:t>
      </w:r>
    </w:p>
    <w:p w:rsidR="00A87B94" w:rsidRDefault="007447B0">
      <w:r>
        <w:t> </w:t>
      </w:r>
    </w:p>
    <w:p w:rsidR="00A87B94" w:rsidRDefault="00A87B94"/>
    <w:p w:rsidR="00A87B94" w:rsidRDefault="007447B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3113</w:t>
            </w:r>
          </w:p>
        </w:tc>
        <w:tc>
          <w:tcPr>
            <w:tcW w:w="3180" w:type="dxa"/>
            <w:tcMar>
              <w:top w:w="0" w:type="dxa"/>
              <w:bottom w:w="0" w:type="dxa"/>
            </w:tcMar>
            <w:vAlign w:val="center"/>
          </w:tcPr>
          <w:p w:rsidR="00A87B94" w:rsidRDefault="007447B0">
            <w:pPr>
              <w:keepNext/>
              <w:keepLines/>
              <w:spacing w:after="0" w:line="240" w:lineRule="auto"/>
            </w:pPr>
            <w:r>
              <w:rPr>
                <w:sz w:val="18"/>
              </w:rPr>
              <w:t>Plaće za prekovremeni rad</w:t>
            </w:r>
          </w:p>
        </w:tc>
        <w:tc>
          <w:tcPr>
            <w:tcW w:w="700" w:type="dxa"/>
            <w:tcMar>
              <w:top w:w="0" w:type="dxa"/>
              <w:bottom w:w="0" w:type="dxa"/>
            </w:tcMar>
            <w:vAlign w:val="center"/>
          </w:tcPr>
          <w:p w:rsidR="00A87B94" w:rsidRDefault="007447B0">
            <w:pPr>
              <w:keepNext/>
              <w:keepLines/>
              <w:spacing w:after="0" w:line="240" w:lineRule="auto"/>
            </w:pPr>
            <w:r>
              <w:rPr>
                <w:sz w:val="18"/>
              </w:rPr>
              <w:t>3113</w:t>
            </w:r>
          </w:p>
        </w:tc>
        <w:tc>
          <w:tcPr>
            <w:tcW w:w="1860" w:type="dxa"/>
            <w:tcMar>
              <w:top w:w="0" w:type="dxa"/>
              <w:bottom w:w="0" w:type="dxa"/>
            </w:tcMar>
            <w:vAlign w:val="center"/>
          </w:tcPr>
          <w:p w:rsidR="00A87B94" w:rsidRDefault="007447B0">
            <w:pPr>
              <w:keepNext/>
              <w:keepLines/>
              <w:spacing w:after="0" w:line="240" w:lineRule="auto"/>
              <w:jc w:val="right"/>
            </w:pPr>
            <w:r>
              <w:rPr>
                <w:sz w:val="18"/>
              </w:rPr>
              <w:t>53.277,43</w:t>
            </w:r>
          </w:p>
        </w:tc>
        <w:tc>
          <w:tcPr>
            <w:tcW w:w="1860" w:type="dxa"/>
            <w:tcMar>
              <w:top w:w="0" w:type="dxa"/>
              <w:bottom w:w="0" w:type="dxa"/>
            </w:tcMar>
            <w:vAlign w:val="center"/>
          </w:tcPr>
          <w:p w:rsidR="00A87B94" w:rsidRDefault="007447B0">
            <w:pPr>
              <w:keepNext/>
              <w:keepLines/>
              <w:spacing w:after="0" w:line="240" w:lineRule="auto"/>
              <w:jc w:val="right"/>
            </w:pPr>
            <w:r>
              <w:rPr>
                <w:sz w:val="18"/>
              </w:rPr>
              <w:t>100.841,31</w:t>
            </w:r>
          </w:p>
        </w:tc>
        <w:tc>
          <w:tcPr>
            <w:tcW w:w="700" w:type="dxa"/>
            <w:tcMar>
              <w:top w:w="0" w:type="dxa"/>
              <w:bottom w:w="0" w:type="dxa"/>
            </w:tcMar>
            <w:vAlign w:val="center"/>
          </w:tcPr>
          <w:p w:rsidR="00A87B94" w:rsidRDefault="007447B0">
            <w:pPr>
              <w:keepNext/>
              <w:keepLines/>
              <w:spacing w:after="0" w:line="240" w:lineRule="auto"/>
              <w:jc w:val="right"/>
            </w:pPr>
            <w:r>
              <w:rPr>
                <w:sz w:val="18"/>
              </w:rPr>
              <w:t>189,3</w:t>
            </w:r>
          </w:p>
        </w:tc>
      </w:tr>
    </w:tbl>
    <w:p w:rsidR="00A87B94" w:rsidRDefault="00A87B94">
      <w:pPr>
        <w:spacing w:after="0"/>
      </w:pPr>
    </w:p>
    <w:p w:rsidR="00A87B94" w:rsidRDefault="007447B0">
      <w:r>
        <w:t xml:space="preserve">Povećanje u odnosu na prethodno razdoblje </w:t>
      </w:r>
      <w:proofErr w:type="spellStart"/>
      <w:r>
        <w:t>rezulat</w:t>
      </w:r>
      <w:proofErr w:type="spellEnd"/>
      <w:r>
        <w:t xml:space="preserve"> je primjene novog tumačenja Kolektivnog ugovora u vezi prekovremenih sati za rad subotom i nedjeljom (izleti).</w:t>
      </w:r>
    </w:p>
    <w:p w:rsidR="00A87B94" w:rsidRDefault="00A87B94"/>
    <w:p w:rsidR="00A87B94" w:rsidRDefault="007447B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3213</w:t>
            </w:r>
          </w:p>
        </w:tc>
        <w:tc>
          <w:tcPr>
            <w:tcW w:w="3180" w:type="dxa"/>
            <w:tcMar>
              <w:top w:w="0" w:type="dxa"/>
              <w:bottom w:w="0" w:type="dxa"/>
            </w:tcMar>
            <w:vAlign w:val="center"/>
          </w:tcPr>
          <w:p w:rsidR="00A87B94" w:rsidRDefault="007447B0">
            <w:pPr>
              <w:keepNext/>
              <w:keepLines/>
              <w:spacing w:after="0" w:line="240" w:lineRule="auto"/>
            </w:pPr>
            <w:r>
              <w:rPr>
                <w:sz w:val="18"/>
              </w:rPr>
              <w:t>Stručno usavršavanje zaposlenika</w:t>
            </w:r>
          </w:p>
        </w:tc>
        <w:tc>
          <w:tcPr>
            <w:tcW w:w="700" w:type="dxa"/>
            <w:tcMar>
              <w:top w:w="0" w:type="dxa"/>
              <w:bottom w:w="0" w:type="dxa"/>
            </w:tcMar>
            <w:vAlign w:val="center"/>
          </w:tcPr>
          <w:p w:rsidR="00A87B94" w:rsidRDefault="007447B0">
            <w:pPr>
              <w:keepNext/>
              <w:keepLines/>
              <w:spacing w:after="0" w:line="240" w:lineRule="auto"/>
            </w:pPr>
            <w:r>
              <w:rPr>
                <w:sz w:val="18"/>
              </w:rPr>
              <w:t>3213</w:t>
            </w:r>
          </w:p>
        </w:tc>
        <w:tc>
          <w:tcPr>
            <w:tcW w:w="1860" w:type="dxa"/>
            <w:tcMar>
              <w:top w:w="0" w:type="dxa"/>
              <w:bottom w:w="0" w:type="dxa"/>
            </w:tcMar>
            <w:vAlign w:val="center"/>
          </w:tcPr>
          <w:p w:rsidR="00A87B94" w:rsidRDefault="007447B0">
            <w:pPr>
              <w:keepNext/>
              <w:keepLines/>
              <w:spacing w:after="0" w:line="240" w:lineRule="auto"/>
              <w:jc w:val="right"/>
            </w:pPr>
            <w:r>
              <w:rPr>
                <w:sz w:val="18"/>
              </w:rPr>
              <w:t>8.617,75</w:t>
            </w:r>
          </w:p>
        </w:tc>
        <w:tc>
          <w:tcPr>
            <w:tcW w:w="1860" w:type="dxa"/>
            <w:tcMar>
              <w:top w:w="0" w:type="dxa"/>
              <w:bottom w:w="0" w:type="dxa"/>
            </w:tcMar>
            <w:vAlign w:val="center"/>
          </w:tcPr>
          <w:p w:rsidR="00A87B94" w:rsidRDefault="007447B0">
            <w:pPr>
              <w:keepNext/>
              <w:keepLines/>
              <w:spacing w:after="0" w:line="240" w:lineRule="auto"/>
              <w:jc w:val="right"/>
            </w:pPr>
            <w:r>
              <w:rPr>
                <w:sz w:val="18"/>
              </w:rPr>
              <w:t>19.739,06</w:t>
            </w:r>
          </w:p>
        </w:tc>
        <w:tc>
          <w:tcPr>
            <w:tcW w:w="700" w:type="dxa"/>
            <w:tcMar>
              <w:top w:w="0" w:type="dxa"/>
              <w:bottom w:w="0" w:type="dxa"/>
            </w:tcMar>
            <w:vAlign w:val="center"/>
          </w:tcPr>
          <w:p w:rsidR="00A87B94" w:rsidRDefault="007447B0">
            <w:pPr>
              <w:keepNext/>
              <w:keepLines/>
              <w:spacing w:after="0" w:line="240" w:lineRule="auto"/>
              <w:jc w:val="right"/>
            </w:pPr>
            <w:r>
              <w:rPr>
                <w:sz w:val="18"/>
              </w:rPr>
              <w:t>229,1</w:t>
            </w:r>
          </w:p>
        </w:tc>
      </w:tr>
    </w:tbl>
    <w:p w:rsidR="00A87B94" w:rsidRDefault="00A87B94">
      <w:pPr>
        <w:spacing w:after="0"/>
      </w:pPr>
    </w:p>
    <w:p w:rsidR="00A87B94" w:rsidRDefault="007447B0">
      <w:r>
        <w:t xml:space="preserve">Razlog povećanja u odnosu na prethodno razdoblje je provođenje projekta u okviru programa </w:t>
      </w:r>
      <w:proofErr w:type="spellStart"/>
      <w:r>
        <w:t>Erasmus</w:t>
      </w:r>
      <w:proofErr w:type="spellEnd"/>
      <w:r>
        <w:t>+.</w:t>
      </w:r>
    </w:p>
    <w:p w:rsidR="00A87B94" w:rsidRDefault="007447B0">
      <w:r>
        <w:t> </w:t>
      </w:r>
    </w:p>
    <w:p w:rsidR="00A87B94" w:rsidRDefault="00A87B94"/>
    <w:p w:rsidR="00A87B94" w:rsidRDefault="007447B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3221</w:t>
            </w:r>
          </w:p>
        </w:tc>
        <w:tc>
          <w:tcPr>
            <w:tcW w:w="3180" w:type="dxa"/>
            <w:tcMar>
              <w:top w:w="0" w:type="dxa"/>
              <w:bottom w:w="0" w:type="dxa"/>
            </w:tcMar>
            <w:vAlign w:val="center"/>
          </w:tcPr>
          <w:p w:rsidR="00A87B94" w:rsidRDefault="007447B0">
            <w:pPr>
              <w:keepNext/>
              <w:keepLines/>
              <w:spacing w:after="0" w:line="240" w:lineRule="auto"/>
            </w:pPr>
            <w:r>
              <w:rPr>
                <w:sz w:val="18"/>
              </w:rPr>
              <w:t>Uredski materijal i ostali materijalni rashodi</w:t>
            </w:r>
          </w:p>
        </w:tc>
        <w:tc>
          <w:tcPr>
            <w:tcW w:w="700" w:type="dxa"/>
            <w:tcMar>
              <w:top w:w="0" w:type="dxa"/>
              <w:bottom w:w="0" w:type="dxa"/>
            </w:tcMar>
            <w:vAlign w:val="center"/>
          </w:tcPr>
          <w:p w:rsidR="00A87B94" w:rsidRDefault="007447B0">
            <w:pPr>
              <w:keepNext/>
              <w:keepLines/>
              <w:spacing w:after="0" w:line="240" w:lineRule="auto"/>
            </w:pPr>
            <w:r>
              <w:rPr>
                <w:sz w:val="18"/>
              </w:rPr>
              <w:t>3221</w:t>
            </w:r>
          </w:p>
        </w:tc>
        <w:tc>
          <w:tcPr>
            <w:tcW w:w="1860" w:type="dxa"/>
            <w:tcMar>
              <w:top w:w="0" w:type="dxa"/>
              <w:bottom w:w="0" w:type="dxa"/>
            </w:tcMar>
            <w:vAlign w:val="center"/>
          </w:tcPr>
          <w:p w:rsidR="00A87B94" w:rsidRDefault="007447B0">
            <w:pPr>
              <w:keepNext/>
              <w:keepLines/>
              <w:spacing w:after="0" w:line="240" w:lineRule="auto"/>
              <w:jc w:val="right"/>
            </w:pPr>
            <w:r>
              <w:rPr>
                <w:sz w:val="18"/>
              </w:rPr>
              <w:t>15.711,53</w:t>
            </w:r>
          </w:p>
        </w:tc>
        <w:tc>
          <w:tcPr>
            <w:tcW w:w="1860" w:type="dxa"/>
            <w:tcMar>
              <w:top w:w="0" w:type="dxa"/>
              <w:bottom w:w="0" w:type="dxa"/>
            </w:tcMar>
            <w:vAlign w:val="center"/>
          </w:tcPr>
          <w:p w:rsidR="00A87B94" w:rsidRDefault="007447B0">
            <w:pPr>
              <w:keepNext/>
              <w:keepLines/>
              <w:spacing w:after="0" w:line="240" w:lineRule="auto"/>
              <w:jc w:val="right"/>
            </w:pPr>
            <w:r>
              <w:rPr>
                <w:sz w:val="18"/>
              </w:rPr>
              <w:t>24.452,28</w:t>
            </w:r>
          </w:p>
        </w:tc>
        <w:tc>
          <w:tcPr>
            <w:tcW w:w="700" w:type="dxa"/>
            <w:tcMar>
              <w:top w:w="0" w:type="dxa"/>
              <w:bottom w:w="0" w:type="dxa"/>
            </w:tcMar>
            <w:vAlign w:val="center"/>
          </w:tcPr>
          <w:p w:rsidR="00A87B94" w:rsidRDefault="007447B0">
            <w:pPr>
              <w:keepNext/>
              <w:keepLines/>
              <w:spacing w:after="0" w:line="240" w:lineRule="auto"/>
              <w:jc w:val="right"/>
            </w:pPr>
            <w:r>
              <w:rPr>
                <w:sz w:val="18"/>
              </w:rPr>
              <w:t>155,6</w:t>
            </w:r>
          </w:p>
        </w:tc>
      </w:tr>
    </w:tbl>
    <w:p w:rsidR="00A87B94" w:rsidRDefault="00A87B94">
      <w:pPr>
        <w:spacing w:after="0"/>
      </w:pPr>
    </w:p>
    <w:p w:rsidR="00A87B94" w:rsidRDefault="007447B0">
      <w:r>
        <w:t>Povećanje na ovoj poziciji odnosi se na povećanu nabavu uredskog materijala, sredstava za čišćenje, literature, te nabavu dijagnostičkih instrumenata (psiholog). </w:t>
      </w:r>
    </w:p>
    <w:p w:rsidR="00A87B94" w:rsidRDefault="00A87B94"/>
    <w:p w:rsidR="00A87B94" w:rsidRDefault="007447B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w:t>
            </w:r>
            <w:r>
              <w:rPr>
                <w:b/>
                <w:sz w:val="18"/>
              </w:rPr>
              <w:t>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3223</w:t>
            </w:r>
          </w:p>
        </w:tc>
        <w:tc>
          <w:tcPr>
            <w:tcW w:w="3180" w:type="dxa"/>
            <w:tcMar>
              <w:top w:w="0" w:type="dxa"/>
              <w:bottom w:w="0" w:type="dxa"/>
            </w:tcMar>
            <w:vAlign w:val="center"/>
          </w:tcPr>
          <w:p w:rsidR="00A87B94" w:rsidRDefault="007447B0">
            <w:pPr>
              <w:keepNext/>
              <w:keepLines/>
              <w:spacing w:after="0" w:line="240" w:lineRule="auto"/>
            </w:pPr>
            <w:r>
              <w:rPr>
                <w:sz w:val="18"/>
              </w:rPr>
              <w:t>Energija</w:t>
            </w:r>
          </w:p>
        </w:tc>
        <w:tc>
          <w:tcPr>
            <w:tcW w:w="700" w:type="dxa"/>
            <w:tcMar>
              <w:top w:w="0" w:type="dxa"/>
              <w:bottom w:w="0" w:type="dxa"/>
            </w:tcMar>
            <w:vAlign w:val="center"/>
          </w:tcPr>
          <w:p w:rsidR="00A87B94" w:rsidRDefault="007447B0">
            <w:pPr>
              <w:keepNext/>
              <w:keepLines/>
              <w:spacing w:after="0" w:line="240" w:lineRule="auto"/>
            </w:pPr>
            <w:r>
              <w:rPr>
                <w:sz w:val="18"/>
              </w:rPr>
              <w:t>3223</w:t>
            </w:r>
          </w:p>
        </w:tc>
        <w:tc>
          <w:tcPr>
            <w:tcW w:w="1860" w:type="dxa"/>
            <w:tcMar>
              <w:top w:w="0" w:type="dxa"/>
              <w:bottom w:w="0" w:type="dxa"/>
            </w:tcMar>
            <w:vAlign w:val="center"/>
          </w:tcPr>
          <w:p w:rsidR="00A87B94" w:rsidRDefault="007447B0">
            <w:pPr>
              <w:keepNext/>
              <w:keepLines/>
              <w:spacing w:after="0" w:line="240" w:lineRule="auto"/>
              <w:jc w:val="right"/>
            </w:pPr>
            <w:r>
              <w:rPr>
                <w:sz w:val="18"/>
              </w:rPr>
              <w:t>244,63</w:t>
            </w:r>
          </w:p>
        </w:tc>
        <w:tc>
          <w:tcPr>
            <w:tcW w:w="1860" w:type="dxa"/>
            <w:tcMar>
              <w:top w:w="0" w:type="dxa"/>
              <w:bottom w:w="0" w:type="dxa"/>
            </w:tcMar>
            <w:vAlign w:val="center"/>
          </w:tcPr>
          <w:p w:rsidR="00A87B94" w:rsidRDefault="007447B0">
            <w:pPr>
              <w:keepNext/>
              <w:keepLines/>
              <w:spacing w:after="0" w:line="240" w:lineRule="auto"/>
              <w:jc w:val="right"/>
            </w:pPr>
            <w:r>
              <w:rPr>
                <w:sz w:val="18"/>
              </w:rPr>
              <w:t>16.926,76</w:t>
            </w:r>
          </w:p>
        </w:tc>
        <w:tc>
          <w:tcPr>
            <w:tcW w:w="700" w:type="dxa"/>
            <w:tcMar>
              <w:top w:w="0" w:type="dxa"/>
              <w:bottom w:w="0" w:type="dxa"/>
            </w:tcMar>
            <w:vAlign w:val="center"/>
          </w:tcPr>
          <w:p w:rsidR="00A87B94" w:rsidRDefault="007447B0">
            <w:pPr>
              <w:keepNext/>
              <w:keepLines/>
              <w:spacing w:after="0" w:line="240" w:lineRule="auto"/>
              <w:jc w:val="right"/>
            </w:pPr>
            <w:r>
              <w:rPr>
                <w:sz w:val="18"/>
              </w:rPr>
              <w:t>6919,3</w:t>
            </w:r>
          </w:p>
        </w:tc>
      </w:tr>
    </w:tbl>
    <w:p w:rsidR="00A87B94" w:rsidRDefault="00A87B94">
      <w:pPr>
        <w:spacing w:after="0"/>
      </w:pPr>
    </w:p>
    <w:p w:rsidR="00A87B94" w:rsidRDefault="007447B0">
      <w:r>
        <w:t>Ostvarenje u izvještajnom razdoblju povećano je u odnosu na prethodno razdoblje obzirom da je završena  obnova zgrade Prve ekonomske škole te se poslovanje škole ponovno odvija na adresi Medulićeva 33, Zagreb, samim time su nastali rashodi za energiju.</w:t>
      </w:r>
    </w:p>
    <w:p w:rsidR="00A87B94" w:rsidRDefault="00A87B94"/>
    <w:p w:rsidR="00A87B94" w:rsidRDefault="007447B0">
      <w:pPr>
        <w:keepNext/>
        <w:spacing w:line="240" w:lineRule="auto"/>
        <w:jc w:val="center"/>
      </w:pPr>
      <w:r>
        <w:rPr>
          <w:sz w:val="28"/>
        </w:rPr>
        <w:t>Bi</w:t>
      </w:r>
      <w:r>
        <w:rPr>
          <w:sz w:val="28"/>
        </w:rPr>
        <w:t>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3225</w:t>
            </w:r>
          </w:p>
        </w:tc>
        <w:tc>
          <w:tcPr>
            <w:tcW w:w="3180" w:type="dxa"/>
            <w:tcMar>
              <w:top w:w="0" w:type="dxa"/>
              <w:bottom w:w="0" w:type="dxa"/>
            </w:tcMar>
            <w:vAlign w:val="center"/>
          </w:tcPr>
          <w:p w:rsidR="00A87B94" w:rsidRDefault="007447B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A87B94" w:rsidRDefault="007447B0">
            <w:pPr>
              <w:keepNext/>
              <w:keepLines/>
              <w:spacing w:after="0" w:line="240" w:lineRule="auto"/>
            </w:pPr>
            <w:r>
              <w:rPr>
                <w:sz w:val="18"/>
              </w:rPr>
              <w:t>3225</w:t>
            </w:r>
          </w:p>
        </w:tc>
        <w:tc>
          <w:tcPr>
            <w:tcW w:w="1860" w:type="dxa"/>
            <w:tcMar>
              <w:top w:w="0" w:type="dxa"/>
              <w:bottom w:w="0" w:type="dxa"/>
            </w:tcMar>
            <w:vAlign w:val="center"/>
          </w:tcPr>
          <w:p w:rsidR="00A87B94" w:rsidRDefault="007447B0">
            <w:pPr>
              <w:keepNext/>
              <w:keepLines/>
              <w:spacing w:after="0" w:line="240" w:lineRule="auto"/>
              <w:jc w:val="right"/>
            </w:pPr>
            <w:r>
              <w:rPr>
                <w:sz w:val="18"/>
              </w:rPr>
              <w:t>387,47</w:t>
            </w:r>
          </w:p>
        </w:tc>
        <w:tc>
          <w:tcPr>
            <w:tcW w:w="1860" w:type="dxa"/>
            <w:tcMar>
              <w:top w:w="0" w:type="dxa"/>
              <w:bottom w:w="0" w:type="dxa"/>
            </w:tcMar>
            <w:vAlign w:val="center"/>
          </w:tcPr>
          <w:p w:rsidR="00A87B94" w:rsidRDefault="007447B0">
            <w:pPr>
              <w:keepNext/>
              <w:keepLines/>
              <w:spacing w:after="0" w:line="240" w:lineRule="auto"/>
              <w:jc w:val="right"/>
            </w:pPr>
            <w:r>
              <w:rPr>
                <w:sz w:val="18"/>
              </w:rPr>
              <w:t>7.914,08</w:t>
            </w:r>
          </w:p>
        </w:tc>
        <w:tc>
          <w:tcPr>
            <w:tcW w:w="700" w:type="dxa"/>
            <w:tcMar>
              <w:top w:w="0" w:type="dxa"/>
              <w:bottom w:w="0" w:type="dxa"/>
            </w:tcMar>
            <w:vAlign w:val="center"/>
          </w:tcPr>
          <w:p w:rsidR="00A87B94" w:rsidRDefault="007447B0">
            <w:pPr>
              <w:keepNext/>
              <w:keepLines/>
              <w:spacing w:after="0" w:line="240" w:lineRule="auto"/>
              <w:jc w:val="right"/>
            </w:pPr>
            <w:r>
              <w:rPr>
                <w:sz w:val="18"/>
              </w:rPr>
              <w:t>2042,5</w:t>
            </w:r>
          </w:p>
        </w:tc>
      </w:tr>
    </w:tbl>
    <w:p w:rsidR="00A87B94" w:rsidRDefault="00A87B94">
      <w:pPr>
        <w:spacing w:after="0"/>
      </w:pPr>
    </w:p>
    <w:p w:rsidR="00A87B94" w:rsidRDefault="007447B0">
      <w:r>
        <w:t>Do povećanja ostvarenja u izvještajnom razdoblju u odnosu na prethodno razdoblje došlo je zbog opremanja škole nakon završetka obnove potresom oštećene zgrade.</w:t>
      </w:r>
    </w:p>
    <w:p w:rsidR="00A87B94" w:rsidRDefault="00A87B94"/>
    <w:p w:rsidR="00A87B94" w:rsidRDefault="007447B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w:t>
            </w:r>
            <w:r>
              <w:rPr>
                <w:b/>
                <w:sz w:val="18"/>
              </w:rPr>
              <w:t xml:space="preserv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3227</w:t>
            </w:r>
          </w:p>
        </w:tc>
        <w:tc>
          <w:tcPr>
            <w:tcW w:w="3180" w:type="dxa"/>
            <w:tcMar>
              <w:top w:w="0" w:type="dxa"/>
              <w:bottom w:w="0" w:type="dxa"/>
            </w:tcMar>
            <w:vAlign w:val="center"/>
          </w:tcPr>
          <w:p w:rsidR="00A87B94" w:rsidRDefault="007447B0">
            <w:pPr>
              <w:keepNext/>
              <w:keepLines/>
              <w:spacing w:after="0" w:line="240" w:lineRule="auto"/>
            </w:pPr>
            <w:r>
              <w:rPr>
                <w:sz w:val="18"/>
              </w:rPr>
              <w:t>Službena, radna i zaštitna odjeća i obuća</w:t>
            </w:r>
          </w:p>
        </w:tc>
        <w:tc>
          <w:tcPr>
            <w:tcW w:w="700" w:type="dxa"/>
            <w:tcMar>
              <w:top w:w="0" w:type="dxa"/>
              <w:bottom w:w="0" w:type="dxa"/>
            </w:tcMar>
            <w:vAlign w:val="center"/>
          </w:tcPr>
          <w:p w:rsidR="00A87B94" w:rsidRDefault="007447B0">
            <w:pPr>
              <w:keepNext/>
              <w:keepLines/>
              <w:spacing w:after="0" w:line="240" w:lineRule="auto"/>
            </w:pPr>
            <w:r>
              <w:rPr>
                <w:sz w:val="18"/>
              </w:rPr>
              <w:t>3227</w:t>
            </w:r>
          </w:p>
        </w:tc>
        <w:tc>
          <w:tcPr>
            <w:tcW w:w="1860" w:type="dxa"/>
            <w:tcMar>
              <w:top w:w="0" w:type="dxa"/>
              <w:bottom w:w="0" w:type="dxa"/>
            </w:tcMar>
            <w:vAlign w:val="center"/>
          </w:tcPr>
          <w:p w:rsidR="00A87B94" w:rsidRDefault="007447B0">
            <w:pPr>
              <w:keepNext/>
              <w:keepLines/>
              <w:spacing w:after="0" w:line="240" w:lineRule="auto"/>
              <w:jc w:val="right"/>
            </w:pPr>
            <w:r>
              <w:rPr>
                <w:sz w:val="18"/>
              </w:rPr>
              <w:t>300,46</w:t>
            </w:r>
          </w:p>
        </w:tc>
        <w:tc>
          <w:tcPr>
            <w:tcW w:w="1860" w:type="dxa"/>
            <w:tcMar>
              <w:top w:w="0" w:type="dxa"/>
              <w:bottom w:w="0" w:type="dxa"/>
            </w:tcMar>
            <w:vAlign w:val="center"/>
          </w:tcPr>
          <w:p w:rsidR="00A87B94" w:rsidRDefault="007447B0">
            <w:pPr>
              <w:keepNext/>
              <w:keepLines/>
              <w:spacing w:after="0" w:line="240" w:lineRule="auto"/>
              <w:jc w:val="right"/>
            </w:pPr>
            <w:r>
              <w:rPr>
                <w:sz w:val="18"/>
              </w:rPr>
              <w:t>927,32</w:t>
            </w:r>
          </w:p>
        </w:tc>
        <w:tc>
          <w:tcPr>
            <w:tcW w:w="700" w:type="dxa"/>
            <w:tcMar>
              <w:top w:w="0" w:type="dxa"/>
              <w:bottom w:w="0" w:type="dxa"/>
            </w:tcMar>
            <w:vAlign w:val="center"/>
          </w:tcPr>
          <w:p w:rsidR="00A87B94" w:rsidRDefault="007447B0">
            <w:pPr>
              <w:keepNext/>
              <w:keepLines/>
              <w:spacing w:after="0" w:line="240" w:lineRule="auto"/>
              <w:jc w:val="right"/>
            </w:pPr>
            <w:r>
              <w:rPr>
                <w:sz w:val="18"/>
              </w:rPr>
              <w:t>308,6</w:t>
            </w:r>
          </w:p>
        </w:tc>
      </w:tr>
    </w:tbl>
    <w:p w:rsidR="00A87B94" w:rsidRDefault="00A87B94">
      <w:pPr>
        <w:spacing w:after="0"/>
      </w:pPr>
    </w:p>
    <w:p w:rsidR="00A87B94" w:rsidRDefault="007447B0">
      <w:r>
        <w:t>Do povećanja u odnosu na prethodno razdoblje došlo je zbog nabave osobnih zaštitnih sredstava sukladno Procjeni opasnosti na radnim mjestima na kojima se moraju upotrebljavati osobna zaštitna sredstva.</w:t>
      </w:r>
    </w:p>
    <w:p w:rsidR="00A87B94" w:rsidRDefault="007447B0">
      <w:r>
        <w:t> </w:t>
      </w:r>
    </w:p>
    <w:p w:rsidR="00A87B94" w:rsidRDefault="00A87B94"/>
    <w:p w:rsidR="00A87B94" w:rsidRDefault="007447B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3232</w:t>
            </w:r>
          </w:p>
        </w:tc>
        <w:tc>
          <w:tcPr>
            <w:tcW w:w="3180" w:type="dxa"/>
            <w:tcMar>
              <w:top w:w="0" w:type="dxa"/>
              <w:bottom w:w="0" w:type="dxa"/>
            </w:tcMar>
            <w:vAlign w:val="center"/>
          </w:tcPr>
          <w:p w:rsidR="00A87B94" w:rsidRDefault="007447B0">
            <w:pPr>
              <w:keepNext/>
              <w:keepLines/>
              <w:spacing w:after="0" w:line="240" w:lineRule="auto"/>
            </w:pPr>
            <w:r>
              <w:rPr>
                <w:sz w:val="18"/>
              </w:rPr>
              <w:t>Usluge tekućeg i investicijskog održavanja</w:t>
            </w:r>
          </w:p>
        </w:tc>
        <w:tc>
          <w:tcPr>
            <w:tcW w:w="700" w:type="dxa"/>
            <w:tcMar>
              <w:top w:w="0" w:type="dxa"/>
              <w:bottom w:w="0" w:type="dxa"/>
            </w:tcMar>
            <w:vAlign w:val="center"/>
          </w:tcPr>
          <w:p w:rsidR="00A87B94" w:rsidRDefault="007447B0">
            <w:pPr>
              <w:keepNext/>
              <w:keepLines/>
              <w:spacing w:after="0" w:line="240" w:lineRule="auto"/>
            </w:pPr>
            <w:r>
              <w:rPr>
                <w:sz w:val="18"/>
              </w:rPr>
              <w:t>3232</w:t>
            </w:r>
          </w:p>
        </w:tc>
        <w:tc>
          <w:tcPr>
            <w:tcW w:w="1860" w:type="dxa"/>
            <w:tcMar>
              <w:top w:w="0" w:type="dxa"/>
              <w:bottom w:w="0" w:type="dxa"/>
            </w:tcMar>
            <w:vAlign w:val="center"/>
          </w:tcPr>
          <w:p w:rsidR="00A87B94" w:rsidRDefault="007447B0">
            <w:pPr>
              <w:keepNext/>
              <w:keepLines/>
              <w:spacing w:after="0" w:line="240" w:lineRule="auto"/>
              <w:jc w:val="right"/>
            </w:pPr>
            <w:r>
              <w:rPr>
                <w:sz w:val="18"/>
              </w:rPr>
              <w:t>2.325,50</w:t>
            </w:r>
          </w:p>
        </w:tc>
        <w:tc>
          <w:tcPr>
            <w:tcW w:w="1860" w:type="dxa"/>
            <w:tcMar>
              <w:top w:w="0" w:type="dxa"/>
              <w:bottom w:w="0" w:type="dxa"/>
            </w:tcMar>
            <w:vAlign w:val="center"/>
          </w:tcPr>
          <w:p w:rsidR="00A87B94" w:rsidRDefault="007447B0">
            <w:pPr>
              <w:keepNext/>
              <w:keepLines/>
              <w:spacing w:after="0" w:line="240" w:lineRule="auto"/>
              <w:jc w:val="right"/>
            </w:pPr>
            <w:r>
              <w:rPr>
                <w:sz w:val="18"/>
              </w:rPr>
              <w:t>54.643,71</w:t>
            </w:r>
          </w:p>
        </w:tc>
        <w:tc>
          <w:tcPr>
            <w:tcW w:w="700" w:type="dxa"/>
            <w:tcMar>
              <w:top w:w="0" w:type="dxa"/>
              <w:bottom w:w="0" w:type="dxa"/>
            </w:tcMar>
            <w:vAlign w:val="center"/>
          </w:tcPr>
          <w:p w:rsidR="00A87B94" w:rsidRDefault="007447B0">
            <w:pPr>
              <w:keepNext/>
              <w:keepLines/>
              <w:spacing w:after="0" w:line="240" w:lineRule="auto"/>
              <w:jc w:val="right"/>
            </w:pPr>
            <w:r>
              <w:rPr>
                <w:sz w:val="18"/>
              </w:rPr>
              <w:t>2349,8</w:t>
            </w:r>
          </w:p>
        </w:tc>
      </w:tr>
    </w:tbl>
    <w:p w:rsidR="00A87B94" w:rsidRDefault="00A87B94">
      <w:pPr>
        <w:spacing w:after="0"/>
      </w:pPr>
    </w:p>
    <w:p w:rsidR="00A87B94" w:rsidRDefault="007447B0">
      <w:r>
        <w:t>Do povećanja rashoda u odnosu na prethodno razdoblje došlo je zbog rashoda za radove u sklopu obnove školske zgrade Prve ekonomske škole,  te zbog troškova tekućeg i investicijskog održavanja škole.</w:t>
      </w:r>
    </w:p>
    <w:p w:rsidR="00A87B94" w:rsidRDefault="00A87B94"/>
    <w:p w:rsidR="00A87B94" w:rsidRDefault="007447B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3235</w:t>
            </w:r>
          </w:p>
        </w:tc>
        <w:tc>
          <w:tcPr>
            <w:tcW w:w="3180" w:type="dxa"/>
            <w:tcMar>
              <w:top w:w="0" w:type="dxa"/>
              <w:bottom w:w="0" w:type="dxa"/>
            </w:tcMar>
            <w:vAlign w:val="center"/>
          </w:tcPr>
          <w:p w:rsidR="00A87B94" w:rsidRDefault="007447B0">
            <w:pPr>
              <w:keepNext/>
              <w:keepLines/>
              <w:spacing w:after="0" w:line="240" w:lineRule="auto"/>
            </w:pPr>
            <w:r>
              <w:rPr>
                <w:sz w:val="18"/>
              </w:rPr>
              <w:t>Zakupnine i najamnine</w:t>
            </w:r>
          </w:p>
        </w:tc>
        <w:tc>
          <w:tcPr>
            <w:tcW w:w="700" w:type="dxa"/>
            <w:tcMar>
              <w:top w:w="0" w:type="dxa"/>
              <w:bottom w:w="0" w:type="dxa"/>
            </w:tcMar>
            <w:vAlign w:val="center"/>
          </w:tcPr>
          <w:p w:rsidR="00A87B94" w:rsidRDefault="007447B0">
            <w:pPr>
              <w:keepNext/>
              <w:keepLines/>
              <w:spacing w:after="0" w:line="240" w:lineRule="auto"/>
            </w:pPr>
            <w:r>
              <w:rPr>
                <w:sz w:val="18"/>
              </w:rPr>
              <w:t>3235</w:t>
            </w:r>
          </w:p>
        </w:tc>
        <w:tc>
          <w:tcPr>
            <w:tcW w:w="1860" w:type="dxa"/>
            <w:tcMar>
              <w:top w:w="0" w:type="dxa"/>
              <w:bottom w:w="0" w:type="dxa"/>
            </w:tcMar>
            <w:vAlign w:val="center"/>
          </w:tcPr>
          <w:p w:rsidR="00A87B94" w:rsidRDefault="007447B0">
            <w:pPr>
              <w:keepNext/>
              <w:keepLines/>
              <w:spacing w:after="0" w:line="240" w:lineRule="auto"/>
              <w:jc w:val="right"/>
            </w:pPr>
            <w:r>
              <w:rPr>
                <w:sz w:val="18"/>
              </w:rPr>
              <w:t>296,72</w:t>
            </w:r>
          </w:p>
        </w:tc>
        <w:tc>
          <w:tcPr>
            <w:tcW w:w="1860" w:type="dxa"/>
            <w:tcMar>
              <w:top w:w="0" w:type="dxa"/>
              <w:bottom w:w="0" w:type="dxa"/>
            </w:tcMar>
            <w:vAlign w:val="center"/>
          </w:tcPr>
          <w:p w:rsidR="00A87B94" w:rsidRDefault="007447B0">
            <w:pPr>
              <w:keepNext/>
              <w:keepLines/>
              <w:spacing w:after="0" w:line="240" w:lineRule="auto"/>
              <w:jc w:val="right"/>
            </w:pPr>
            <w:r>
              <w:rPr>
                <w:sz w:val="18"/>
              </w:rPr>
              <w:t>509,41</w:t>
            </w:r>
          </w:p>
        </w:tc>
        <w:tc>
          <w:tcPr>
            <w:tcW w:w="700" w:type="dxa"/>
            <w:tcMar>
              <w:top w:w="0" w:type="dxa"/>
              <w:bottom w:w="0" w:type="dxa"/>
            </w:tcMar>
            <w:vAlign w:val="center"/>
          </w:tcPr>
          <w:p w:rsidR="00A87B94" w:rsidRDefault="007447B0">
            <w:pPr>
              <w:keepNext/>
              <w:keepLines/>
              <w:spacing w:after="0" w:line="240" w:lineRule="auto"/>
              <w:jc w:val="right"/>
            </w:pPr>
            <w:r>
              <w:rPr>
                <w:sz w:val="18"/>
              </w:rPr>
              <w:t>171,7</w:t>
            </w:r>
          </w:p>
        </w:tc>
      </w:tr>
    </w:tbl>
    <w:p w:rsidR="00A87B94" w:rsidRDefault="00A87B94">
      <w:pPr>
        <w:spacing w:after="0"/>
      </w:pPr>
    </w:p>
    <w:p w:rsidR="00A87B94" w:rsidRDefault="007447B0">
      <w:r>
        <w:t>Povećanje rashoda odnosi se na rashode za najam dodatnog aparata za vodu.</w:t>
      </w:r>
    </w:p>
    <w:p w:rsidR="00A87B94" w:rsidRDefault="00A87B94"/>
    <w:p w:rsidR="00A87B94" w:rsidRDefault="007447B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w:t>
            </w:r>
            <w:r>
              <w:rPr>
                <w:b/>
                <w:sz w:val="18"/>
              </w:rPr>
              <w:t xml:space="preserve">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324</w:t>
            </w:r>
          </w:p>
        </w:tc>
        <w:tc>
          <w:tcPr>
            <w:tcW w:w="3180" w:type="dxa"/>
            <w:tcMar>
              <w:top w:w="0" w:type="dxa"/>
              <w:bottom w:w="0" w:type="dxa"/>
            </w:tcMar>
            <w:vAlign w:val="center"/>
          </w:tcPr>
          <w:p w:rsidR="00A87B94" w:rsidRDefault="007447B0">
            <w:pPr>
              <w:keepNext/>
              <w:keepLines/>
              <w:spacing w:after="0" w:line="240" w:lineRule="auto"/>
            </w:pPr>
            <w:r>
              <w:rPr>
                <w:sz w:val="18"/>
              </w:rPr>
              <w:t>Naknade troškova osobama izvan radnog odnosa</w:t>
            </w:r>
          </w:p>
        </w:tc>
        <w:tc>
          <w:tcPr>
            <w:tcW w:w="700" w:type="dxa"/>
            <w:tcMar>
              <w:top w:w="0" w:type="dxa"/>
              <w:bottom w:w="0" w:type="dxa"/>
            </w:tcMar>
            <w:vAlign w:val="center"/>
          </w:tcPr>
          <w:p w:rsidR="00A87B94" w:rsidRDefault="007447B0">
            <w:pPr>
              <w:keepNext/>
              <w:keepLines/>
              <w:spacing w:after="0" w:line="240" w:lineRule="auto"/>
            </w:pPr>
            <w:r>
              <w:rPr>
                <w:sz w:val="18"/>
              </w:rPr>
              <w:t>324</w:t>
            </w:r>
          </w:p>
        </w:tc>
        <w:tc>
          <w:tcPr>
            <w:tcW w:w="1860" w:type="dxa"/>
            <w:tcMar>
              <w:top w:w="0" w:type="dxa"/>
              <w:bottom w:w="0" w:type="dxa"/>
            </w:tcMar>
            <w:vAlign w:val="center"/>
          </w:tcPr>
          <w:p w:rsidR="00A87B94" w:rsidRDefault="007447B0">
            <w:pPr>
              <w:keepNext/>
              <w:keepLines/>
              <w:spacing w:after="0" w:line="240" w:lineRule="auto"/>
              <w:jc w:val="right"/>
            </w:pPr>
            <w:r>
              <w:rPr>
                <w:sz w:val="18"/>
              </w:rPr>
              <w:t>1.520,60</w:t>
            </w:r>
          </w:p>
        </w:tc>
        <w:tc>
          <w:tcPr>
            <w:tcW w:w="1860" w:type="dxa"/>
            <w:tcMar>
              <w:top w:w="0" w:type="dxa"/>
              <w:bottom w:w="0" w:type="dxa"/>
            </w:tcMar>
            <w:vAlign w:val="center"/>
          </w:tcPr>
          <w:p w:rsidR="00A87B94" w:rsidRDefault="007447B0">
            <w:pPr>
              <w:keepNext/>
              <w:keepLines/>
              <w:spacing w:after="0" w:line="240" w:lineRule="auto"/>
              <w:jc w:val="right"/>
            </w:pPr>
            <w:r>
              <w:rPr>
                <w:sz w:val="18"/>
              </w:rPr>
              <w:t>67.086,33</w:t>
            </w:r>
          </w:p>
        </w:tc>
        <w:tc>
          <w:tcPr>
            <w:tcW w:w="700" w:type="dxa"/>
            <w:tcMar>
              <w:top w:w="0" w:type="dxa"/>
              <w:bottom w:w="0" w:type="dxa"/>
            </w:tcMar>
            <w:vAlign w:val="center"/>
          </w:tcPr>
          <w:p w:rsidR="00A87B94" w:rsidRDefault="007447B0">
            <w:pPr>
              <w:keepNext/>
              <w:keepLines/>
              <w:spacing w:after="0" w:line="240" w:lineRule="auto"/>
              <w:jc w:val="right"/>
            </w:pPr>
            <w:r>
              <w:rPr>
                <w:sz w:val="18"/>
              </w:rPr>
              <w:t>4411,8</w:t>
            </w:r>
          </w:p>
        </w:tc>
      </w:tr>
    </w:tbl>
    <w:p w:rsidR="00A87B94" w:rsidRDefault="00A87B94">
      <w:pPr>
        <w:spacing w:after="0"/>
      </w:pPr>
    </w:p>
    <w:p w:rsidR="00A87B94" w:rsidRDefault="007447B0">
      <w:r>
        <w:t xml:space="preserve">Razlog povećanja u odnosu na prethodno razdoblje je provođenje projekta u okviru programa </w:t>
      </w:r>
      <w:proofErr w:type="spellStart"/>
      <w:r>
        <w:t>Erasmus</w:t>
      </w:r>
      <w:proofErr w:type="spellEnd"/>
      <w:r>
        <w:t>+.</w:t>
      </w:r>
    </w:p>
    <w:p w:rsidR="00A87B94" w:rsidRDefault="007447B0">
      <w:r>
        <w:t> </w:t>
      </w:r>
    </w:p>
    <w:p w:rsidR="00A87B94" w:rsidRDefault="00A87B94"/>
    <w:p w:rsidR="00A87B94" w:rsidRDefault="007447B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w:t>
            </w:r>
            <w:r>
              <w:rPr>
                <w:b/>
                <w:sz w:val="18"/>
              </w:rPr>
              <w:t>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3291</w:t>
            </w:r>
          </w:p>
        </w:tc>
        <w:tc>
          <w:tcPr>
            <w:tcW w:w="3180" w:type="dxa"/>
            <w:tcMar>
              <w:top w:w="0" w:type="dxa"/>
              <w:bottom w:w="0" w:type="dxa"/>
            </w:tcMar>
            <w:vAlign w:val="center"/>
          </w:tcPr>
          <w:p w:rsidR="00A87B94" w:rsidRDefault="007447B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A87B94" w:rsidRDefault="007447B0">
            <w:pPr>
              <w:keepNext/>
              <w:keepLines/>
              <w:spacing w:after="0" w:line="240" w:lineRule="auto"/>
            </w:pPr>
            <w:r>
              <w:rPr>
                <w:sz w:val="18"/>
              </w:rPr>
              <w:t>3291</w:t>
            </w:r>
          </w:p>
        </w:tc>
        <w:tc>
          <w:tcPr>
            <w:tcW w:w="1860" w:type="dxa"/>
            <w:tcMar>
              <w:top w:w="0" w:type="dxa"/>
              <w:bottom w:w="0" w:type="dxa"/>
            </w:tcMar>
            <w:vAlign w:val="center"/>
          </w:tcPr>
          <w:p w:rsidR="00A87B94" w:rsidRDefault="007447B0">
            <w:pPr>
              <w:keepNext/>
              <w:keepLines/>
              <w:spacing w:after="0" w:line="240" w:lineRule="auto"/>
              <w:jc w:val="right"/>
            </w:pPr>
            <w:r>
              <w:rPr>
                <w:sz w:val="18"/>
              </w:rPr>
              <w:t>3.192,68</w:t>
            </w:r>
          </w:p>
        </w:tc>
        <w:tc>
          <w:tcPr>
            <w:tcW w:w="1860" w:type="dxa"/>
            <w:tcMar>
              <w:top w:w="0" w:type="dxa"/>
              <w:bottom w:w="0" w:type="dxa"/>
            </w:tcMar>
            <w:vAlign w:val="center"/>
          </w:tcPr>
          <w:p w:rsidR="00A87B94" w:rsidRDefault="007447B0">
            <w:pPr>
              <w:keepNext/>
              <w:keepLines/>
              <w:spacing w:after="0" w:line="240" w:lineRule="auto"/>
              <w:jc w:val="right"/>
            </w:pPr>
            <w:r>
              <w:rPr>
                <w:sz w:val="18"/>
              </w:rPr>
              <w:t>6.526,32</w:t>
            </w:r>
          </w:p>
        </w:tc>
        <w:tc>
          <w:tcPr>
            <w:tcW w:w="700" w:type="dxa"/>
            <w:tcMar>
              <w:top w:w="0" w:type="dxa"/>
              <w:bottom w:w="0" w:type="dxa"/>
            </w:tcMar>
            <w:vAlign w:val="center"/>
          </w:tcPr>
          <w:p w:rsidR="00A87B94" w:rsidRDefault="007447B0">
            <w:pPr>
              <w:keepNext/>
              <w:keepLines/>
              <w:spacing w:after="0" w:line="240" w:lineRule="auto"/>
              <w:jc w:val="right"/>
            </w:pPr>
            <w:r>
              <w:rPr>
                <w:sz w:val="18"/>
              </w:rPr>
              <w:t>204,4</w:t>
            </w:r>
          </w:p>
        </w:tc>
      </w:tr>
    </w:tbl>
    <w:p w:rsidR="00A87B94" w:rsidRDefault="00A87B94">
      <w:pPr>
        <w:spacing w:after="0"/>
      </w:pPr>
    </w:p>
    <w:p w:rsidR="00A87B94" w:rsidRDefault="007447B0">
      <w:r>
        <w:t>Razlog povećanja u odnosu na prethodno razdoblje je povećanje naknada članovima Školskog odbora - Zaključak Grada Zagreba od 08.09.2025.</w:t>
      </w:r>
    </w:p>
    <w:p w:rsidR="00A87B94" w:rsidRDefault="007447B0">
      <w:r>
        <w:t> </w:t>
      </w:r>
    </w:p>
    <w:p w:rsidR="00A87B94" w:rsidRDefault="00A87B94"/>
    <w:p w:rsidR="00A87B94" w:rsidRDefault="007447B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3292</w:t>
            </w:r>
          </w:p>
        </w:tc>
        <w:tc>
          <w:tcPr>
            <w:tcW w:w="3180" w:type="dxa"/>
            <w:tcMar>
              <w:top w:w="0" w:type="dxa"/>
              <w:bottom w:w="0" w:type="dxa"/>
            </w:tcMar>
            <w:vAlign w:val="center"/>
          </w:tcPr>
          <w:p w:rsidR="00A87B94" w:rsidRDefault="007447B0">
            <w:pPr>
              <w:keepNext/>
              <w:keepLines/>
              <w:spacing w:after="0" w:line="240" w:lineRule="auto"/>
            </w:pPr>
            <w:r>
              <w:rPr>
                <w:sz w:val="18"/>
              </w:rPr>
              <w:t>Premije osiguranja</w:t>
            </w:r>
          </w:p>
        </w:tc>
        <w:tc>
          <w:tcPr>
            <w:tcW w:w="700" w:type="dxa"/>
            <w:tcMar>
              <w:top w:w="0" w:type="dxa"/>
              <w:bottom w:w="0" w:type="dxa"/>
            </w:tcMar>
            <w:vAlign w:val="center"/>
          </w:tcPr>
          <w:p w:rsidR="00A87B94" w:rsidRDefault="007447B0">
            <w:pPr>
              <w:keepNext/>
              <w:keepLines/>
              <w:spacing w:after="0" w:line="240" w:lineRule="auto"/>
            </w:pPr>
            <w:r>
              <w:rPr>
                <w:sz w:val="18"/>
              </w:rPr>
              <w:t>3292</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5.646,84</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Ostvarenje u izvještajnom razdoblju odnosi se na rashode nastale zbog sklapanje police osiguranja imovine.</w:t>
      </w:r>
    </w:p>
    <w:p w:rsidR="00A87B94" w:rsidRDefault="00A87B94"/>
    <w:p w:rsidR="00A87B94" w:rsidRDefault="007447B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3433</w:t>
            </w:r>
          </w:p>
        </w:tc>
        <w:tc>
          <w:tcPr>
            <w:tcW w:w="3180" w:type="dxa"/>
            <w:tcMar>
              <w:top w:w="0" w:type="dxa"/>
              <w:bottom w:w="0" w:type="dxa"/>
            </w:tcMar>
            <w:vAlign w:val="center"/>
          </w:tcPr>
          <w:p w:rsidR="00A87B94" w:rsidRDefault="007447B0">
            <w:pPr>
              <w:keepNext/>
              <w:keepLines/>
              <w:spacing w:after="0" w:line="240" w:lineRule="auto"/>
            </w:pPr>
            <w:r>
              <w:rPr>
                <w:sz w:val="18"/>
              </w:rPr>
              <w:t>Zatezne kamate</w:t>
            </w:r>
          </w:p>
        </w:tc>
        <w:tc>
          <w:tcPr>
            <w:tcW w:w="700" w:type="dxa"/>
            <w:tcMar>
              <w:top w:w="0" w:type="dxa"/>
              <w:bottom w:w="0" w:type="dxa"/>
            </w:tcMar>
            <w:vAlign w:val="center"/>
          </w:tcPr>
          <w:p w:rsidR="00A87B94" w:rsidRDefault="007447B0">
            <w:pPr>
              <w:keepNext/>
              <w:keepLines/>
              <w:spacing w:after="0" w:line="240" w:lineRule="auto"/>
            </w:pPr>
            <w:r>
              <w:rPr>
                <w:sz w:val="18"/>
              </w:rPr>
              <w:t>3433</w:t>
            </w:r>
          </w:p>
        </w:tc>
        <w:tc>
          <w:tcPr>
            <w:tcW w:w="1860" w:type="dxa"/>
            <w:tcMar>
              <w:top w:w="0" w:type="dxa"/>
              <w:bottom w:w="0" w:type="dxa"/>
            </w:tcMar>
            <w:vAlign w:val="center"/>
          </w:tcPr>
          <w:p w:rsidR="00A87B94" w:rsidRDefault="007447B0">
            <w:pPr>
              <w:keepNext/>
              <w:keepLines/>
              <w:spacing w:after="0" w:line="240" w:lineRule="auto"/>
              <w:jc w:val="right"/>
            </w:pPr>
            <w:r>
              <w:rPr>
                <w:sz w:val="18"/>
              </w:rPr>
              <w:t>7.996,02</w:t>
            </w:r>
          </w:p>
        </w:tc>
        <w:tc>
          <w:tcPr>
            <w:tcW w:w="1860" w:type="dxa"/>
            <w:tcMar>
              <w:top w:w="0" w:type="dxa"/>
              <w:bottom w:w="0" w:type="dxa"/>
            </w:tcMar>
            <w:vAlign w:val="center"/>
          </w:tcPr>
          <w:p w:rsidR="00A87B94" w:rsidRDefault="007447B0">
            <w:pPr>
              <w:keepNext/>
              <w:keepLines/>
              <w:spacing w:after="0" w:line="240" w:lineRule="auto"/>
              <w:jc w:val="right"/>
            </w:pPr>
            <w:r>
              <w:rPr>
                <w:sz w:val="18"/>
              </w:rPr>
              <w:t>356,51</w:t>
            </w:r>
          </w:p>
        </w:tc>
        <w:tc>
          <w:tcPr>
            <w:tcW w:w="700" w:type="dxa"/>
            <w:tcMar>
              <w:top w:w="0" w:type="dxa"/>
              <w:bottom w:w="0" w:type="dxa"/>
            </w:tcMar>
            <w:vAlign w:val="center"/>
          </w:tcPr>
          <w:p w:rsidR="00A87B94" w:rsidRDefault="007447B0">
            <w:pPr>
              <w:keepNext/>
              <w:keepLines/>
              <w:spacing w:after="0" w:line="240" w:lineRule="auto"/>
              <w:jc w:val="right"/>
            </w:pPr>
            <w:r>
              <w:rPr>
                <w:sz w:val="18"/>
              </w:rPr>
              <w:t>4,5</w:t>
            </w:r>
          </w:p>
        </w:tc>
      </w:tr>
    </w:tbl>
    <w:p w:rsidR="00A87B94" w:rsidRDefault="00A87B94">
      <w:pPr>
        <w:spacing w:after="0"/>
      </w:pPr>
    </w:p>
    <w:p w:rsidR="00A87B94" w:rsidRDefault="007447B0">
      <w:r>
        <w:t>Tijekom 2025. godine došlo je do smanjenja isplata razlike plaće po sudskim presudama što je rezultiralo smanjenjem na ovoj poziciji u odnosu na prethodno razdoblje.</w:t>
      </w:r>
    </w:p>
    <w:p w:rsidR="00A87B94" w:rsidRDefault="00A87B94"/>
    <w:p w:rsidR="00A87B94" w:rsidRDefault="007447B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w:t>
            </w:r>
            <w:r>
              <w:rPr>
                <w:b/>
                <w:sz w:val="18"/>
              </w:rPr>
              <w:t xml:space="preserve">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3611</w:t>
            </w:r>
          </w:p>
        </w:tc>
        <w:tc>
          <w:tcPr>
            <w:tcW w:w="3180" w:type="dxa"/>
            <w:tcMar>
              <w:top w:w="0" w:type="dxa"/>
              <w:bottom w:w="0" w:type="dxa"/>
            </w:tcMar>
            <w:vAlign w:val="center"/>
          </w:tcPr>
          <w:p w:rsidR="00A87B94" w:rsidRDefault="007447B0">
            <w:pPr>
              <w:keepNext/>
              <w:keepLines/>
              <w:spacing w:after="0" w:line="240" w:lineRule="auto"/>
            </w:pPr>
            <w:r>
              <w:rPr>
                <w:sz w:val="18"/>
              </w:rPr>
              <w:t>Tekuće pomoći inozemnim vladama</w:t>
            </w:r>
          </w:p>
        </w:tc>
        <w:tc>
          <w:tcPr>
            <w:tcW w:w="700" w:type="dxa"/>
            <w:tcMar>
              <w:top w:w="0" w:type="dxa"/>
              <w:bottom w:w="0" w:type="dxa"/>
            </w:tcMar>
            <w:vAlign w:val="center"/>
          </w:tcPr>
          <w:p w:rsidR="00A87B94" w:rsidRDefault="007447B0">
            <w:pPr>
              <w:keepNext/>
              <w:keepLines/>
              <w:spacing w:after="0" w:line="240" w:lineRule="auto"/>
            </w:pPr>
            <w:r>
              <w:rPr>
                <w:sz w:val="18"/>
              </w:rPr>
              <w:t>3611</w:t>
            </w:r>
          </w:p>
        </w:tc>
        <w:tc>
          <w:tcPr>
            <w:tcW w:w="1860" w:type="dxa"/>
            <w:tcMar>
              <w:top w:w="0" w:type="dxa"/>
              <w:bottom w:w="0" w:type="dxa"/>
            </w:tcMar>
            <w:vAlign w:val="center"/>
          </w:tcPr>
          <w:p w:rsidR="00A87B94" w:rsidRDefault="007447B0">
            <w:pPr>
              <w:keepNext/>
              <w:keepLines/>
              <w:spacing w:after="0" w:line="240" w:lineRule="auto"/>
              <w:jc w:val="right"/>
            </w:pPr>
            <w:r>
              <w:rPr>
                <w:sz w:val="18"/>
              </w:rPr>
              <w:t>11.040,00</w:t>
            </w:r>
          </w:p>
        </w:tc>
        <w:tc>
          <w:tcPr>
            <w:tcW w:w="1860" w:type="dxa"/>
            <w:tcMar>
              <w:top w:w="0" w:type="dxa"/>
              <w:bottom w:w="0" w:type="dxa"/>
            </w:tcMar>
            <w:vAlign w:val="center"/>
          </w:tcPr>
          <w:p w:rsidR="00A87B94" w:rsidRDefault="007447B0">
            <w:pPr>
              <w:keepNext/>
              <w:keepLines/>
              <w:spacing w:after="0" w:line="240" w:lineRule="auto"/>
              <w:jc w:val="right"/>
            </w:pPr>
            <w:r>
              <w:rPr>
                <w:sz w:val="18"/>
              </w:rPr>
              <w:t>6.810,00</w:t>
            </w:r>
          </w:p>
        </w:tc>
        <w:tc>
          <w:tcPr>
            <w:tcW w:w="700" w:type="dxa"/>
            <w:tcMar>
              <w:top w:w="0" w:type="dxa"/>
              <w:bottom w:w="0" w:type="dxa"/>
            </w:tcMar>
            <w:vAlign w:val="center"/>
          </w:tcPr>
          <w:p w:rsidR="00A87B94" w:rsidRDefault="007447B0">
            <w:pPr>
              <w:keepNext/>
              <w:keepLines/>
              <w:spacing w:after="0" w:line="240" w:lineRule="auto"/>
              <w:jc w:val="right"/>
            </w:pPr>
            <w:r>
              <w:rPr>
                <w:sz w:val="18"/>
              </w:rPr>
              <w:t>61,7</w:t>
            </w:r>
          </w:p>
        </w:tc>
      </w:tr>
    </w:tbl>
    <w:p w:rsidR="00A87B94" w:rsidRDefault="00A87B94">
      <w:pPr>
        <w:spacing w:after="0"/>
      </w:pPr>
    </w:p>
    <w:p w:rsidR="00A87B94" w:rsidRDefault="007447B0">
      <w:r>
        <w:t xml:space="preserve">Razlog smanjenja na ovoj poziciji u izvještajnom razdoblju je završetak </w:t>
      </w:r>
      <w:proofErr w:type="spellStart"/>
      <w:r>
        <w:t>Erasmus</w:t>
      </w:r>
      <w:proofErr w:type="spellEnd"/>
      <w:r>
        <w:t xml:space="preserve"> + projekta. Tijekom 2025. godine isplaćena je završna isplata partnerima u projektu.</w:t>
      </w:r>
    </w:p>
    <w:p w:rsidR="00A87B94" w:rsidRDefault="00A87B94"/>
    <w:p w:rsidR="00A87B94" w:rsidRDefault="007447B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w:t>
            </w:r>
            <w:r>
              <w:rPr>
                <w:b/>
                <w:sz w:val="18"/>
              </w:rPr>
              <w: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96</w:t>
            </w:r>
          </w:p>
        </w:tc>
        <w:tc>
          <w:tcPr>
            <w:tcW w:w="3180" w:type="dxa"/>
            <w:tcMar>
              <w:top w:w="0" w:type="dxa"/>
              <w:bottom w:w="0" w:type="dxa"/>
            </w:tcMar>
            <w:vAlign w:val="center"/>
          </w:tcPr>
          <w:p w:rsidR="00A87B94" w:rsidRDefault="007447B0">
            <w:pPr>
              <w:keepNext/>
              <w:keepLines/>
              <w:spacing w:after="0" w:line="240" w:lineRule="auto"/>
            </w:pPr>
            <w:r>
              <w:rPr>
                <w:sz w:val="18"/>
              </w:rPr>
              <w:t>Obračunati prihodi poslovanja - nenaplaćeni</w:t>
            </w:r>
          </w:p>
        </w:tc>
        <w:tc>
          <w:tcPr>
            <w:tcW w:w="700" w:type="dxa"/>
            <w:tcMar>
              <w:top w:w="0" w:type="dxa"/>
              <w:bottom w:w="0" w:type="dxa"/>
            </w:tcMar>
            <w:vAlign w:val="center"/>
          </w:tcPr>
          <w:p w:rsidR="00A87B94" w:rsidRDefault="007447B0">
            <w:pPr>
              <w:keepNext/>
              <w:keepLines/>
              <w:spacing w:after="0" w:line="240" w:lineRule="auto"/>
            </w:pPr>
            <w:r>
              <w:rPr>
                <w:sz w:val="18"/>
              </w:rPr>
              <w:t>96</w:t>
            </w:r>
          </w:p>
        </w:tc>
        <w:tc>
          <w:tcPr>
            <w:tcW w:w="1860" w:type="dxa"/>
            <w:tcMar>
              <w:top w:w="0" w:type="dxa"/>
              <w:bottom w:w="0" w:type="dxa"/>
            </w:tcMar>
            <w:vAlign w:val="center"/>
          </w:tcPr>
          <w:p w:rsidR="00A87B94" w:rsidRDefault="007447B0">
            <w:pPr>
              <w:keepNext/>
              <w:keepLines/>
              <w:spacing w:after="0" w:line="240" w:lineRule="auto"/>
              <w:jc w:val="right"/>
            </w:pPr>
            <w:r>
              <w:rPr>
                <w:sz w:val="18"/>
              </w:rPr>
              <w:t>45.595,39</w:t>
            </w:r>
          </w:p>
        </w:tc>
        <w:tc>
          <w:tcPr>
            <w:tcW w:w="1860" w:type="dxa"/>
            <w:tcMar>
              <w:top w:w="0" w:type="dxa"/>
              <w:bottom w:w="0" w:type="dxa"/>
            </w:tcMar>
            <w:vAlign w:val="center"/>
          </w:tcPr>
          <w:p w:rsidR="00A87B94" w:rsidRDefault="007447B0">
            <w:pPr>
              <w:keepNext/>
              <w:keepLines/>
              <w:spacing w:after="0" w:line="240" w:lineRule="auto"/>
              <w:jc w:val="right"/>
            </w:pPr>
            <w:r>
              <w:rPr>
                <w:sz w:val="18"/>
              </w:rPr>
              <w:t>392.794,63</w:t>
            </w:r>
          </w:p>
        </w:tc>
        <w:tc>
          <w:tcPr>
            <w:tcW w:w="700" w:type="dxa"/>
            <w:tcMar>
              <w:top w:w="0" w:type="dxa"/>
              <w:bottom w:w="0" w:type="dxa"/>
            </w:tcMar>
            <w:vAlign w:val="center"/>
          </w:tcPr>
          <w:p w:rsidR="00A87B94" w:rsidRDefault="007447B0">
            <w:pPr>
              <w:keepNext/>
              <w:keepLines/>
              <w:spacing w:after="0" w:line="240" w:lineRule="auto"/>
              <w:jc w:val="right"/>
            </w:pPr>
            <w:r>
              <w:rPr>
                <w:sz w:val="18"/>
              </w:rPr>
              <w:t>861,5</w:t>
            </w:r>
          </w:p>
        </w:tc>
      </w:tr>
    </w:tbl>
    <w:p w:rsidR="00A87B94" w:rsidRDefault="00A87B94">
      <w:pPr>
        <w:spacing w:after="0"/>
      </w:pPr>
    </w:p>
    <w:p w:rsidR="00A87B94" w:rsidRDefault="007447B0">
      <w:r>
        <w:t xml:space="preserve">Povećanje na ovoj poziciji rezultat je primjene novog Pravilnika o proračunskom računovodstvu temeljem kojeg su evidentirani obračunati prihodi od pomoći Ministarstva </w:t>
      </w:r>
      <w:proofErr w:type="spellStart"/>
      <w:r>
        <w:t>znanosti,obrazovanja</w:t>
      </w:r>
      <w:proofErr w:type="spellEnd"/>
      <w:r>
        <w:t xml:space="preserve"> i mladih za plaće i kapitalne pomoći.</w:t>
      </w:r>
    </w:p>
    <w:p w:rsidR="00A87B94" w:rsidRDefault="00A87B94"/>
    <w:p w:rsidR="00A87B94" w:rsidRDefault="007447B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w:t>
            </w:r>
            <w:r>
              <w:rPr>
                <w:b/>
                <w:sz w:val="18"/>
              </w:rPr>
              <w:t>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4</w:t>
            </w:r>
          </w:p>
        </w:tc>
        <w:tc>
          <w:tcPr>
            <w:tcW w:w="3180" w:type="dxa"/>
            <w:tcMar>
              <w:top w:w="0" w:type="dxa"/>
              <w:bottom w:w="0" w:type="dxa"/>
            </w:tcMar>
            <w:vAlign w:val="center"/>
          </w:tcPr>
          <w:p w:rsidR="00A87B94" w:rsidRDefault="007447B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A87B94" w:rsidRDefault="007447B0">
            <w:pPr>
              <w:keepNext/>
              <w:keepLines/>
              <w:spacing w:after="0" w:line="240" w:lineRule="auto"/>
            </w:pPr>
            <w:r>
              <w:rPr>
                <w:sz w:val="18"/>
              </w:rPr>
              <w:t>4</w:t>
            </w:r>
          </w:p>
        </w:tc>
        <w:tc>
          <w:tcPr>
            <w:tcW w:w="1860" w:type="dxa"/>
            <w:tcMar>
              <w:top w:w="0" w:type="dxa"/>
              <w:bottom w:w="0" w:type="dxa"/>
            </w:tcMar>
            <w:vAlign w:val="center"/>
          </w:tcPr>
          <w:p w:rsidR="00A87B94" w:rsidRDefault="007447B0">
            <w:pPr>
              <w:keepNext/>
              <w:keepLines/>
              <w:spacing w:after="0" w:line="240" w:lineRule="auto"/>
              <w:jc w:val="right"/>
            </w:pPr>
            <w:r>
              <w:rPr>
                <w:sz w:val="18"/>
              </w:rPr>
              <w:t>29.970,75</w:t>
            </w:r>
          </w:p>
        </w:tc>
        <w:tc>
          <w:tcPr>
            <w:tcW w:w="1860" w:type="dxa"/>
            <w:tcMar>
              <w:top w:w="0" w:type="dxa"/>
              <w:bottom w:w="0" w:type="dxa"/>
            </w:tcMar>
            <w:vAlign w:val="center"/>
          </w:tcPr>
          <w:p w:rsidR="00A87B94" w:rsidRDefault="007447B0">
            <w:pPr>
              <w:keepNext/>
              <w:keepLines/>
              <w:spacing w:after="0" w:line="240" w:lineRule="auto"/>
              <w:jc w:val="right"/>
            </w:pPr>
            <w:r>
              <w:rPr>
                <w:sz w:val="18"/>
              </w:rPr>
              <w:t>88.200,28</w:t>
            </w:r>
          </w:p>
        </w:tc>
        <w:tc>
          <w:tcPr>
            <w:tcW w:w="700" w:type="dxa"/>
            <w:tcMar>
              <w:top w:w="0" w:type="dxa"/>
              <w:bottom w:w="0" w:type="dxa"/>
            </w:tcMar>
            <w:vAlign w:val="center"/>
          </w:tcPr>
          <w:p w:rsidR="00A87B94" w:rsidRDefault="007447B0">
            <w:pPr>
              <w:keepNext/>
              <w:keepLines/>
              <w:spacing w:after="0" w:line="240" w:lineRule="auto"/>
              <w:jc w:val="right"/>
            </w:pPr>
            <w:r>
              <w:rPr>
                <w:sz w:val="18"/>
              </w:rPr>
              <w:t>294,3</w:t>
            </w:r>
          </w:p>
        </w:tc>
      </w:tr>
    </w:tbl>
    <w:p w:rsidR="00A87B94" w:rsidRDefault="00A87B94">
      <w:pPr>
        <w:spacing w:after="0"/>
      </w:pPr>
    </w:p>
    <w:p w:rsidR="00A87B94" w:rsidRDefault="007447B0">
      <w:r>
        <w:t>Ostvarenje u izvještajnom razdoblju povećano je u odnosu na prethodno razdoblje. U izvještajnom razdoblju tekuće godine nabavljani su udžbenici, knjige za školsku knjižnicu i oprema za školu. Obzirom da je završena obnova zgrade Prve ekonomske škole poveća</w:t>
      </w:r>
      <w:r>
        <w:t>ni su rashodi za nabavu nefinancijske imovine.</w:t>
      </w:r>
    </w:p>
    <w:p w:rsidR="00A87B94" w:rsidRDefault="00A87B94"/>
    <w:p w:rsidR="00A87B94" w:rsidRDefault="007447B0">
      <w:pPr>
        <w:keepNext/>
        <w:spacing w:line="240" w:lineRule="auto"/>
        <w:jc w:val="center"/>
      </w:pPr>
      <w:r>
        <w:rPr>
          <w:b/>
          <w:sz w:val="28"/>
        </w:rPr>
        <w:t>Bilanca</w:t>
      </w:r>
    </w:p>
    <w:p w:rsidR="00A87B94" w:rsidRDefault="007447B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0212</w:t>
            </w:r>
          </w:p>
        </w:tc>
        <w:tc>
          <w:tcPr>
            <w:tcW w:w="3180" w:type="dxa"/>
            <w:tcMar>
              <w:top w:w="0" w:type="dxa"/>
              <w:bottom w:w="0" w:type="dxa"/>
            </w:tcMar>
            <w:vAlign w:val="center"/>
          </w:tcPr>
          <w:p w:rsidR="00A87B94" w:rsidRDefault="007447B0">
            <w:pPr>
              <w:keepNext/>
              <w:keepLines/>
              <w:spacing w:after="0" w:line="240" w:lineRule="auto"/>
            </w:pPr>
            <w:r>
              <w:rPr>
                <w:sz w:val="18"/>
              </w:rPr>
              <w:t>Poslovni objekti</w:t>
            </w:r>
          </w:p>
        </w:tc>
        <w:tc>
          <w:tcPr>
            <w:tcW w:w="700" w:type="dxa"/>
            <w:tcMar>
              <w:top w:w="0" w:type="dxa"/>
              <w:bottom w:w="0" w:type="dxa"/>
            </w:tcMar>
            <w:vAlign w:val="center"/>
          </w:tcPr>
          <w:p w:rsidR="00A87B94" w:rsidRDefault="007447B0">
            <w:pPr>
              <w:keepNext/>
              <w:keepLines/>
              <w:spacing w:after="0" w:line="240" w:lineRule="auto"/>
            </w:pPr>
            <w:r>
              <w:rPr>
                <w:sz w:val="18"/>
              </w:rPr>
              <w:t>0212</w:t>
            </w:r>
          </w:p>
        </w:tc>
        <w:tc>
          <w:tcPr>
            <w:tcW w:w="1860" w:type="dxa"/>
            <w:tcMar>
              <w:top w:w="0" w:type="dxa"/>
              <w:bottom w:w="0" w:type="dxa"/>
            </w:tcMar>
            <w:vAlign w:val="center"/>
          </w:tcPr>
          <w:p w:rsidR="00A87B94" w:rsidRDefault="007447B0">
            <w:pPr>
              <w:keepNext/>
              <w:keepLines/>
              <w:spacing w:after="0" w:line="240" w:lineRule="auto"/>
              <w:jc w:val="right"/>
            </w:pPr>
            <w:r>
              <w:rPr>
                <w:sz w:val="18"/>
              </w:rPr>
              <w:t>1.526.748,85</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700" w:type="dxa"/>
            <w:tcMar>
              <w:top w:w="0" w:type="dxa"/>
              <w:bottom w:w="0" w:type="dxa"/>
            </w:tcMar>
            <w:vAlign w:val="center"/>
          </w:tcPr>
          <w:p w:rsidR="00A87B94" w:rsidRDefault="007447B0">
            <w:pPr>
              <w:keepNext/>
              <w:keepLines/>
              <w:spacing w:after="0" w:line="240" w:lineRule="auto"/>
              <w:jc w:val="right"/>
            </w:pPr>
            <w:r>
              <w:rPr>
                <w:sz w:val="18"/>
              </w:rPr>
              <w:t>0</w:t>
            </w:r>
          </w:p>
        </w:tc>
      </w:tr>
    </w:tbl>
    <w:p w:rsidR="00A87B94" w:rsidRDefault="00A87B94">
      <w:pPr>
        <w:spacing w:after="0"/>
      </w:pPr>
    </w:p>
    <w:p w:rsidR="00A87B94" w:rsidRDefault="007447B0">
      <w:r>
        <w:t xml:space="preserve">Smanjenje na poziciji u odnosu na stanje 01.01.2025. odnosi se na prijenos prava vlasništva nekretnine (školska zgrada i zemljište) sa Prve ekonomske škole na Grad Zagreb </w:t>
      </w:r>
      <w:proofErr w:type="spellStart"/>
      <w:r>
        <w:t>kso</w:t>
      </w:r>
      <w:proofErr w:type="spellEnd"/>
      <w:r>
        <w:t xml:space="preserve"> osnivača škole. Imovina je isknjižena temeljem Ugovora o prijenosu vlasništva.</w:t>
      </w:r>
    </w:p>
    <w:p w:rsidR="00A87B94" w:rsidRDefault="00A87B94"/>
    <w:p w:rsidR="00A87B94" w:rsidRDefault="007447B0">
      <w:pPr>
        <w:keepNext/>
        <w:spacing w:line="240" w:lineRule="auto"/>
        <w:jc w:val="center"/>
      </w:pPr>
      <w:r>
        <w:rPr>
          <w:sz w:val="28"/>
        </w:rPr>
        <w:t>B</w:t>
      </w:r>
      <w:r>
        <w:rPr>
          <w:sz w:val="28"/>
        </w:rPr>
        <w:t>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022 i 02922</w:t>
            </w:r>
          </w:p>
        </w:tc>
        <w:tc>
          <w:tcPr>
            <w:tcW w:w="3180" w:type="dxa"/>
            <w:tcMar>
              <w:top w:w="0" w:type="dxa"/>
              <w:bottom w:w="0" w:type="dxa"/>
            </w:tcMar>
            <w:vAlign w:val="center"/>
          </w:tcPr>
          <w:p w:rsidR="00A87B94" w:rsidRDefault="007447B0">
            <w:pPr>
              <w:keepNext/>
              <w:keepLines/>
              <w:spacing w:after="0" w:line="240" w:lineRule="auto"/>
            </w:pPr>
            <w:r>
              <w:rPr>
                <w:sz w:val="18"/>
              </w:rPr>
              <w:t>Postrojenja i oprema (šifre 0221 do 0228 - 02922)</w:t>
            </w:r>
          </w:p>
        </w:tc>
        <w:tc>
          <w:tcPr>
            <w:tcW w:w="700" w:type="dxa"/>
            <w:tcMar>
              <w:top w:w="0" w:type="dxa"/>
              <w:bottom w:w="0" w:type="dxa"/>
            </w:tcMar>
            <w:vAlign w:val="center"/>
          </w:tcPr>
          <w:p w:rsidR="00A87B94" w:rsidRDefault="007447B0">
            <w:pPr>
              <w:keepNext/>
              <w:keepLines/>
              <w:spacing w:after="0" w:line="240" w:lineRule="auto"/>
            </w:pPr>
            <w:r>
              <w:rPr>
                <w:sz w:val="18"/>
              </w:rPr>
              <w:t>022 i 02922</w:t>
            </w:r>
          </w:p>
        </w:tc>
        <w:tc>
          <w:tcPr>
            <w:tcW w:w="1860" w:type="dxa"/>
            <w:tcMar>
              <w:top w:w="0" w:type="dxa"/>
              <w:bottom w:w="0" w:type="dxa"/>
            </w:tcMar>
            <w:vAlign w:val="center"/>
          </w:tcPr>
          <w:p w:rsidR="00A87B94" w:rsidRDefault="007447B0">
            <w:pPr>
              <w:keepNext/>
              <w:keepLines/>
              <w:spacing w:after="0" w:line="240" w:lineRule="auto"/>
              <w:jc w:val="right"/>
            </w:pPr>
            <w:r>
              <w:rPr>
                <w:sz w:val="18"/>
              </w:rPr>
              <w:t>134.379,33</w:t>
            </w:r>
          </w:p>
        </w:tc>
        <w:tc>
          <w:tcPr>
            <w:tcW w:w="1860" w:type="dxa"/>
            <w:tcMar>
              <w:top w:w="0" w:type="dxa"/>
              <w:bottom w:w="0" w:type="dxa"/>
            </w:tcMar>
            <w:vAlign w:val="center"/>
          </w:tcPr>
          <w:p w:rsidR="00A87B94" w:rsidRDefault="007447B0">
            <w:pPr>
              <w:keepNext/>
              <w:keepLines/>
              <w:spacing w:after="0" w:line="240" w:lineRule="auto"/>
              <w:jc w:val="right"/>
            </w:pPr>
            <w:r>
              <w:rPr>
                <w:sz w:val="18"/>
              </w:rPr>
              <w:t>321.427,02</w:t>
            </w:r>
          </w:p>
        </w:tc>
        <w:tc>
          <w:tcPr>
            <w:tcW w:w="700" w:type="dxa"/>
            <w:tcMar>
              <w:top w:w="0" w:type="dxa"/>
              <w:bottom w:w="0" w:type="dxa"/>
            </w:tcMar>
            <w:vAlign w:val="center"/>
          </w:tcPr>
          <w:p w:rsidR="00A87B94" w:rsidRDefault="007447B0">
            <w:pPr>
              <w:keepNext/>
              <w:keepLines/>
              <w:spacing w:after="0" w:line="240" w:lineRule="auto"/>
              <w:jc w:val="right"/>
            </w:pPr>
            <w:r>
              <w:rPr>
                <w:sz w:val="18"/>
              </w:rPr>
              <w:t>239,2</w:t>
            </w:r>
          </w:p>
        </w:tc>
      </w:tr>
    </w:tbl>
    <w:p w:rsidR="00A87B94" w:rsidRDefault="00A87B94">
      <w:pPr>
        <w:spacing w:after="0"/>
      </w:pPr>
    </w:p>
    <w:p w:rsidR="00A87B94" w:rsidRDefault="007447B0">
      <w:r>
        <w:lastRenderedPageBreak/>
        <w:t>Povećanje u odnosu na početno stanje odnosi se na primljenu donaciju računala, nabavu računalne opreme, sportske i glazbene opreme, uredske opreme i namještaja potrebnog za opremanje škole nakon obnove. Povećanje vrijednosti imovine u iznosu 211.886,74 eur</w:t>
      </w:r>
      <w:r>
        <w:t xml:space="preserve">a provedeno je temeljem zaključka kojim se imovina </w:t>
      </w:r>
      <w:proofErr w:type="spellStart"/>
      <w:r>
        <w:t>isknjižila</w:t>
      </w:r>
      <w:proofErr w:type="spellEnd"/>
      <w:r>
        <w:t xml:space="preserve"> iz poslovnih knjiga Gradskog ureda za obrazovanje, sport i mlade i prenijela Prvoj ekonomskoj školi.</w:t>
      </w:r>
    </w:p>
    <w:p w:rsidR="00A87B94" w:rsidRDefault="00A87B94"/>
    <w:p w:rsidR="00A87B94" w:rsidRDefault="007447B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w:t>
            </w:r>
            <w:r>
              <w:rPr>
                <w:b/>
                <w:sz w:val="18"/>
              </w:rPr>
              <w:t>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124</w:t>
            </w:r>
          </w:p>
        </w:tc>
        <w:tc>
          <w:tcPr>
            <w:tcW w:w="3180" w:type="dxa"/>
            <w:tcMar>
              <w:top w:w="0" w:type="dxa"/>
              <w:bottom w:w="0" w:type="dxa"/>
            </w:tcMar>
            <w:vAlign w:val="center"/>
          </w:tcPr>
          <w:p w:rsidR="00A87B94" w:rsidRDefault="007447B0">
            <w:pPr>
              <w:keepNext/>
              <w:keepLines/>
              <w:spacing w:after="0" w:line="240" w:lineRule="auto"/>
            </w:pPr>
            <w:r>
              <w:rPr>
                <w:sz w:val="18"/>
              </w:rPr>
              <w:t>Potraživanja za više plaćene poreze i doprinose</w:t>
            </w:r>
          </w:p>
        </w:tc>
        <w:tc>
          <w:tcPr>
            <w:tcW w:w="700" w:type="dxa"/>
            <w:tcMar>
              <w:top w:w="0" w:type="dxa"/>
              <w:bottom w:w="0" w:type="dxa"/>
            </w:tcMar>
            <w:vAlign w:val="center"/>
          </w:tcPr>
          <w:p w:rsidR="00A87B94" w:rsidRDefault="007447B0">
            <w:pPr>
              <w:keepNext/>
              <w:keepLines/>
              <w:spacing w:after="0" w:line="240" w:lineRule="auto"/>
            </w:pPr>
            <w:r>
              <w:rPr>
                <w:sz w:val="18"/>
              </w:rPr>
              <w:t>124</w:t>
            </w:r>
          </w:p>
        </w:tc>
        <w:tc>
          <w:tcPr>
            <w:tcW w:w="1860" w:type="dxa"/>
            <w:tcMar>
              <w:top w:w="0" w:type="dxa"/>
              <w:bottom w:w="0" w:type="dxa"/>
            </w:tcMar>
            <w:vAlign w:val="center"/>
          </w:tcPr>
          <w:p w:rsidR="00A87B94" w:rsidRDefault="007447B0">
            <w:pPr>
              <w:keepNext/>
              <w:keepLines/>
              <w:spacing w:after="0" w:line="240" w:lineRule="auto"/>
              <w:jc w:val="right"/>
            </w:pPr>
            <w:r>
              <w:rPr>
                <w:sz w:val="18"/>
              </w:rPr>
              <w:t>438,38</w:t>
            </w:r>
          </w:p>
        </w:tc>
        <w:tc>
          <w:tcPr>
            <w:tcW w:w="1860" w:type="dxa"/>
            <w:tcMar>
              <w:top w:w="0" w:type="dxa"/>
              <w:bottom w:w="0" w:type="dxa"/>
            </w:tcMar>
            <w:vAlign w:val="center"/>
          </w:tcPr>
          <w:p w:rsidR="00A87B94" w:rsidRDefault="007447B0">
            <w:pPr>
              <w:keepNext/>
              <w:keepLines/>
              <w:spacing w:after="0" w:line="240" w:lineRule="auto"/>
              <w:jc w:val="right"/>
            </w:pPr>
            <w:r>
              <w:rPr>
                <w:sz w:val="18"/>
              </w:rPr>
              <w:t>2.721,50</w:t>
            </w:r>
          </w:p>
        </w:tc>
        <w:tc>
          <w:tcPr>
            <w:tcW w:w="700" w:type="dxa"/>
            <w:tcMar>
              <w:top w:w="0" w:type="dxa"/>
              <w:bottom w:w="0" w:type="dxa"/>
            </w:tcMar>
            <w:vAlign w:val="center"/>
          </w:tcPr>
          <w:p w:rsidR="00A87B94" w:rsidRDefault="007447B0">
            <w:pPr>
              <w:keepNext/>
              <w:keepLines/>
              <w:spacing w:after="0" w:line="240" w:lineRule="auto"/>
              <w:jc w:val="right"/>
            </w:pPr>
            <w:r>
              <w:rPr>
                <w:sz w:val="18"/>
              </w:rPr>
              <w:t>620,8</w:t>
            </w:r>
          </w:p>
        </w:tc>
      </w:tr>
    </w:tbl>
    <w:p w:rsidR="00A87B94" w:rsidRDefault="00A87B94">
      <w:pPr>
        <w:spacing w:after="0"/>
      </w:pPr>
    </w:p>
    <w:p w:rsidR="00A87B94" w:rsidRDefault="007447B0">
      <w:r>
        <w:t>Povećanje stanja na 31.12.2025. nastalo je zbog knjiženja korektivnog obračuna plaće do kojeg je došlo zbog naknadnog priznavanja ozljede na radu.</w:t>
      </w:r>
    </w:p>
    <w:p w:rsidR="00A87B94" w:rsidRDefault="00A87B94"/>
    <w:p w:rsidR="00A87B94" w:rsidRDefault="007447B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Račun</w:t>
            </w:r>
            <w:r>
              <w:rPr>
                <w:b/>
                <w:sz w:val="18"/>
              </w:rPr>
              <w:t xml:space="preserve">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1636</w:t>
            </w:r>
          </w:p>
        </w:tc>
        <w:tc>
          <w:tcPr>
            <w:tcW w:w="3180" w:type="dxa"/>
            <w:tcMar>
              <w:top w:w="0" w:type="dxa"/>
              <w:bottom w:w="0" w:type="dxa"/>
            </w:tcMar>
            <w:vAlign w:val="center"/>
          </w:tcPr>
          <w:p w:rsidR="00A87B94" w:rsidRDefault="007447B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A87B94" w:rsidRDefault="007447B0">
            <w:pPr>
              <w:keepNext/>
              <w:keepLines/>
              <w:spacing w:after="0" w:line="240" w:lineRule="auto"/>
            </w:pPr>
            <w:r>
              <w:rPr>
                <w:sz w:val="18"/>
              </w:rPr>
              <w:t>1636</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261.320,65</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 xml:space="preserve">Povećanje na ovoj poziciji rezultat je primjene novog Pravilnika o proračunskom računovodstvu temeljem kojeg su evidentirana potraživanja  od pomoći Ministarstva </w:t>
      </w:r>
      <w:proofErr w:type="spellStart"/>
      <w:r>
        <w:t>znanosti,obrazovanja</w:t>
      </w:r>
      <w:proofErr w:type="spellEnd"/>
      <w:r>
        <w:t xml:space="preserve"> i mladih za plaće i kapitalne pomoći.</w:t>
      </w:r>
    </w:p>
    <w:p w:rsidR="00A87B94" w:rsidRDefault="00A87B94"/>
    <w:p w:rsidR="00A87B94" w:rsidRDefault="007447B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w:t>
            </w:r>
            <w:r>
              <w:rPr>
                <w:b/>
                <w:sz w:val="18"/>
              </w:rPr>
              <w:t>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193</w:t>
            </w:r>
          </w:p>
        </w:tc>
        <w:tc>
          <w:tcPr>
            <w:tcW w:w="3180" w:type="dxa"/>
            <w:tcMar>
              <w:top w:w="0" w:type="dxa"/>
              <w:bottom w:w="0" w:type="dxa"/>
            </w:tcMar>
            <w:vAlign w:val="center"/>
          </w:tcPr>
          <w:p w:rsidR="00A87B94" w:rsidRDefault="007447B0">
            <w:pPr>
              <w:keepNext/>
              <w:keepLines/>
              <w:spacing w:after="0" w:line="240" w:lineRule="auto"/>
            </w:pPr>
            <w:r>
              <w:rPr>
                <w:sz w:val="18"/>
              </w:rPr>
              <w:t>Kontinuirani rashodi budućih razdoblja</w:t>
            </w:r>
          </w:p>
        </w:tc>
        <w:tc>
          <w:tcPr>
            <w:tcW w:w="700" w:type="dxa"/>
            <w:tcMar>
              <w:top w:w="0" w:type="dxa"/>
              <w:bottom w:w="0" w:type="dxa"/>
            </w:tcMar>
            <w:vAlign w:val="center"/>
          </w:tcPr>
          <w:p w:rsidR="00A87B94" w:rsidRDefault="007447B0">
            <w:pPr>
              <w:keepNext/>
              <w:keepLines/>
              <w:spacing w:after="0" w:line="240" w:lineRule="auto"/>
            </w:pPr>
            <w:r>
              <w:rPr>
                <w:sz w:val="18"/>
              </w:rPr>
              <w:t>193</w:t>
            </w:r>
          </w:p>
        </w:tc>
        <w:tc>
          <w:tcPr>
            <w:tcW w:w="1860" w:type="dxa"/>
            <w:tcMar>
              <w:top w:w="0" w:type="dxa"/>
              <w:bottom w:w="0" w:type="dxa"/>
            </w:tcMar>
            <w:vAlign w:val="center"/>
          </w:tcPr>
          <w:p w:rsidR="00A87B94" w:rsidRDefault="007447B0">
            <w:pPr>
              <w:keepNext/>
              <w:keepLines/>
              <w:spacing w:after="0" w:line="240" w:lineRule="auto"/>
              <w:jc w:val="right"/>
            </w:pPr>
            <w:r>
              <w:rPr>
                <w:sz w:val="18"/>
              </w:rPr>
              <w:t>247.416,30</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700" w:type="dxa"/>
            <w:tcMar>
              <w:top w:w="0" w:type="dxa"/>
              <w:bottom w:w="0" w:type="dxa"/>
            </w:tcMar>
            <w:vAlign w:val="center"/>
          </w:tcPr>
          <w:p w:rsidR="00A87B94" w:rsidRDefault="007447B0">
            <w:pPr>
              <w:keepNext/>
              <w:keepLines/>
              <w:spacing w:after="0" w:line="240" w:lineRule="auto"/>
              <w:jc w:val="right"/>
            </w:pPr>
            <w:r>
              <w:rPr>
                <w:sz w:val="18"/>
              </w:rPr>
              <w:t>0</w:t>
            </w:r>
          </w:p>
        </w:tc>
      </w:tr>
    </w:tbl>
    <w:p w:rsidR="00A87B94" w:rsidRDefault="00A87B94">
      <w:pPr>
        <w:spacing w:after="0"/>
      </w:pPr>
    </w:p>
    <w:p w:rsidR="00A87B94" w:rsidRDefault="007447B0">
      <w:r>
        <w:t>Do smanjenja u odnosu na početno stanje došlo je zbog primjene novog Pravilnika o proračunskom računovodstvu kojim je propisano ukidanje podskupine računa 193-Kontinuirani rashodi budućih razdoblja. </w:t>
      </w:r>
    </w:p>
    <w:p w:rsidR="00A87B94" w:rsidRDefault="00A87B94"/>
    <w:p w:rsidR="00A87B94" w:rsidRDefault="007447B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w:t>
            </w:r>
            <w:r>
              <w:rPr>
                <w:b/>
                <w:sz w:val="18"/>
              </w:rPr>
              <w:t>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2343</w:t>
            </w:r>
          </w:p>
        </w:tc>
        <w:tc>
          <w:tcPr>
            <w:tcW w:w="3180" w:type="dxa"/>
            <w:tcMar>
              <w:top w:w="0" w:type="dxa"/>
              <w:bottom w:w="0" w:type="dxa"/>
            </w:tcMar>
            <w:vAlign w:val="center"/>
          </w:tcPr>
          <w:p w:rsidR="00A87B94" w:rsidRDefault="007447B0">
            <w:pPr>
              <w:keepNext/>
              <w:keepLines/>
              <w:spacing w:after="0" w:line="240" w:lineRule="auto"/>
            </w:pPr>
            <w:r>
              <w:rPr>
                <w:sz w:val="18"/>
              </w:rPr>
              <w:t>Obveze za ostale financijske rashode</w:t>
            </w:r>
          </w:p>
        </w:tc>
        <w:tc>
          <w:tcPr>
            <w:tcW w:w="700" w:type="dxa"/>
            <w:tcMar>
              <w:top w:w="0" w:type="dxa"/>
              <w:bottom w:w="0" w:type="dxa"/>
            </w:tcMar>
            <w:vAlign w:val="center"/>
          </w:tcPr>
          <w:p w:rsidR="00A87B94" w:rsidRDefault="007447B0">
            <w:pPr>
              <w:keepNext/>
              <w:keepLines/>
              <w:spacing w:after="0" w:line="240" w:lineRule="auto"/>
            </w:pPr>
            <w:r>
              <w:rPr>
                <w:sz w:val="18"/>
              </w:rPr>
              <w:t>2343</w:t>
            </w:r>
          </w:p>
        </w:tc>
        <w:tc>
          <w:tcPr>
            <w:tcW w:w="1860" w:type="dxa"/>
            <w:tcMar>
              <w:top w:w="0" w:type="dxa"/>
              <w:bottom w:w="0" w:type="dxa"/>
            </w:tcMar>
            <w:vAlign w:val="center"/>
          </w:tcPr>
          <w:p w:rsidR="00A87B94" w:rsidRDefault="007447B0">
            <w:pPr>
              <w:keepNext/>
              <w:keepLines/>
              <w:spacing w:after="0" w:line="240" w:lineRule="auto"/>
              <w:jc w:val="right"/>
            </w:pPr>
            <w:r>
              <w:rPr>
                <w:sz w:val="18"/>
              </w:rPr>
              <w:t>100,61</w:t>
            </w:r>
          </w:p>
        </w:tc>
        <w:tc>
          <w:tcPr>
            <w:tcW w:w="1860" w:type="dxa"/>
            <w:tcMar>
              <w:top w:w="0" w:type="dxa"/>
              <w:bottom w:w="0" w:type="dxa"/>
            </w:tcMar>
            <w:vAlign w:val="center"/>
          </w:tcPr>
          <w:p w:rsidR="00A87B94" w:rsidRDefault="007447B0">
            <w:pPr>
              <w:keepNext/>
              <w:keepLines/>
              <w:spacing w:after="0" w:line="240" w:lineRule="auto"/>
              <w:jc w:val="right"/>
            </w:pPr>
            <w:r>
              <w:rPr>
                <w:sz w:val="18"/>
              </w:rPr>
              <w:t>173,60</w:t>
            </w:r>
          </w:p>
        </w:tc>
        <w:tc>
          <w:tcPr>
            <w:tcW w:w="700" w:type="dxa"/>
            <w:tcMar>
              <w:top w:w="0" w:type="dxa"/>
              <w:bottom w:w="0" w:type="dxa"/>
            </w:tcMar>
            <w:vAlign w:val="center"/>
          </w:tcPr>
          <w:p w:rsidR="00A87B94" w:rsidRDefault="007447B0">
            <w:pPr>
              <w:keepNext/>
              <w:keepLines/>
              <w:spacing w:after="0" w:line="240" w:lineRule="auto"/>
              <w:jc w:val="right"/>
            </w:pPr>
            <w:r>
              <w:rPr>
                <w:sz w:val="18"/>
              </w:rPr>
              <w:t>172,5</w:t>
            </w:r>
          </w:p>
        </w:tc>
      </w:tr>
    </w:tbl>
    <w:p w:rsidR="00A87B94" w:rsidRDefault="00A87B94">
      <w:pPr>
        <w:spacing w:after="0"/>
      </w:pPr>
    </w:p>
    <w:p w:rsidR="00A87B94" w:rsidRDefault="007447B0">
      <w:r>
        <w:t>Povećanje stanja na dan 31. prosinca 2025. odnosi se na primljene račune za bankarske usluge za razdoblje od 01.12.-31.12.2025.</w:t>
      </w:r>
    </w:p>
    <w:p w:rsidR="00A87B94" w:rsidRDefault="00A87B94"/>
    <w:p w:rsidR="00A87B94" w:rsidRDefault="007447B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237</w:t>
            </w:r>
          </w:p>
        </w:tc>
        <w:tc>
          <w:tcPr>
            <w:tcW w:w="3180" w:type="dxa"/>
            <w:tcMar>
              <w:top w:w="0" w:type="dxa"/>
              <w:bottom w:w="0" w:type="dxa"/>
            </w:tcMar>
            <w:vAlign w:val="center"/>
          </w:tcPr>
          <w:p w:rsidR="00A87B94" w:rsidRDefault="007447B0">
            <w:pPr>
              <w:keepNext/>
              <w:keepLines/>
              <w:spacing w:after="0" w:line="240" w:lineRule="auto"/>
            </w:pPr>
            <w:r>
              <w:rPr>
                <w:sz w:val="18"/>
              </w:rPr>
              <w:t>Obveze za naknade građanima i kućanstvima</w:t>
            </w:r>
          </w:p>
        </w:tc>
        <w:tc>
          <w:tcPr>
            <w:tcW w:w="700" w:type="dxa"/>
            <w:tcMar>
              <w:top w:w="0" w:type="dxa"/>
              <w:bottom w:w="0" w:type="dxa"/>
            </w:tcMar>
            <w:vAlign w:val="center"/>
          </w:tcPr>
          <w:p w:rsidR="00A87B94" w:rsidRDefault="007447B0">
            <w:pPr>
              <w:keepNext/>
              <w:keepLines/>
              <w:spacing w:after="0" w:line="240" w:lineRule="auto"/>
            </w:pPr>
            <w:r>
              <w:rPr>
                <w:sz w:val="18"/>
              </w:rPr>
              <w:t>237</w:t>
            </w:r>
          </w:p>
        </w:tc>
        <w:tc>
          <w:tcPr>
            <w:tcW w:w="1860" w:type="dxa"/>
            <w:tcMar>
              <w:top w:w="0" w:type="dxa"/>
              <w:bottom w:w="0" w:type="dxa"/>
            </w:tcMar>
            <w:vAlign w:val="center"/>
          </w:tcPr>
          <w:p w:rsidR="00A87B94" w:rsidRDefault="007447B0">
            <w:pPr>
              <w:keepNext/>
              <w:keepLines/>
              <w:spacing w:after="0" w:line="240" w:lineRule="auto"/>
              <w:jc w:val="right"/>
            </w:pPr>
            <w:r>
              <w:rPr>
                <w:sz w:val="18"/>
              </w:rPr>
              <w:t>2.901,74</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700" w:type="dxa"/>
            <w:tcMar>
              <w:top w:w="0" w:type="dxa"/>
              <w:bottom w:w="0" w:type="dxa"/>
            </w:tcMar>
            <w:vAlign w:val="center"/>
          </w:tcPr>
          <w:p w:rsidR="00A87B94" w:rsidRDefault="007447B0">
            <w:pPr>
              <w:keepNext/>
              <w:keepLines/>
              <w:spacing w:after="0" w:line="240" w:lineRule="auto"/>
              <w:jc w:val="right"/>
            </w:pPr>
            <w:r>
              <w:rPr>
                <w:sz w:val="18"/>
              </w:rPr>
              <w:t>0</w:t>
            </w:r>
          </w:p>
        </w:tc>
      </w:tr>
    </w:tbl>
    <w:p w:rsidR="00A87B94" w:rsidRDefault="00A87B94">
      <w:pPr>
        <w:spacing w:after="0"/>
      </w:pPr>
    </w:p>
    <w:p w:rsidR="00A87B94" w:rsidRDefault="007447B0">
      <w:r>
        <w:t>Podmirenjem obveza prije 31.prosinca 2025. godine smanjile su se obveza u odnosu na prethodno razdoblje. </w:t>
      </w:r>
    </w:p>
    <w:p w:rsidR="00A87B94" w:rsidRDefault="00A87B94"/>
    <w:p w:rsidR="00A87B94" w:rsidRDefault="007447B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27</w:t>
            </w:r>
          </w:p>
        </w:tc>
        <w:tc>
          <w:tcPr>
            <w:tcW w:w="3180" w:type="dxa"/>
            <w:tcMar>
              <w:top w:w="0" w:type="dxa"/>
              <w:bottom w:w="0" w:type="dxa"/>
            </w:tcMar>
            <w:vAlign w:val="center"/>
          </w:tcPr>
          <w:p w:rsidR="00A87B94" w:rsidRDefault="007447B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A87B94" w:rsidRDefault="007447B0">
            <w:pPr>
              <w:keepNext/>
              <w:keepLines/>
              <w:spacing w:after="0" w:line="240" w:lineRule="auto"/>
            </w:pPr>
            <w:r>
              <w:rPr>
                <w:sz w:val="18"/>
              </w:rPr>
              <w:t>27</w:t>
            </w:r>
          </w:p>
        </w:tc>
        <w:tc>
          <w:tcPr>
            <w:tcW w:w="1860" w:type="dxa"/>
            <w:tcMar>
              <w:top w:w="0" w:type="dxa"/>
              <w:bottom w:w="0" w:type="dxa"/>
            </w:tcMar>
            <w:vAlign w:val="center"/>
          </w:tcPr>
          <w:p w:rsidR="00A87B94" w:rsidRDefault="007447B0">
            <w:pPr>
              <w:keepNext/>
              <w:keepLines/>
              <w:spacing w:after="0" w:line="240" w:lineRule="auto"/>
              <w:jc w:val="right"/>
            </w:pPr>
            <w:r>
              <w:rPr>
                <w:sz w:val="18"/>
              </w:rPr>
              <w:t>27.032,63</w:t>
            </w:r>
          </w:p>
        </w:tc>
        <w:tc>
          <w:tcPr>
            <w:tcW w:w="1860" w:type="dxa"/>
            <w:tcMar>
              <w:top w:w="0" w:type="dxa"/>
              <w:bottom w:w="0" w:type="dxa"/>
            </w:tcMar>
            <w:vAlign w:val="center"/>
          </w:tcPr>
          <w:p w:rsidR="00A87B94" w:rsidRDefault="007447B0">
            <w:pPr>
              <w:keepNext/>
              <w:keepLines/>
              <w:spacing w:after="0" w:line="240" w:lineRule="auto"/>
              <w:jc w:val="right"/>
            </w:pPr>
            <w:r>
              <w:rPr>
                <w:sz w:val="18"/>
              </w:rPr>
              <w:t>115.922,02</w:t>
            </w:r>
          </w:p>
        </w:tc>
        <w:tc>
          <w:tcPr>
            <w:tcW w:w="700" w:type="dxa"/>
            <w:tcMar>
              <w:top w:w="0" w:type="dxa"/>
              <w:bottom w:w="0" w:type="dxa"/>
            </w:tcMar>
            <w:vAlign w:val="center"/>
          </w:tcPr>
          <w:p w:rsidR="00A87B94" w:rsidRDefault="007447B0">
            <w:pPr>
              <w:keepNext/>
              <w:keepLines/>
              <w:spacing w:after="0" w:line="240" w:lineRule="auto"/>
              <w:jc w:val="right"/>
            </w:pPr>
            <w:r>
              <w:rPr>
                <w:sz w:val="18"/>
              </w:rPr>
              <w:t>428,8</w:t>
            </w:r>
          </w:p>
        </w:tc>
      </w:tr>
    </w:tbl>
    <w:p w:rsidR="00A87B94" w:rsidRDefault="00A87B94">
      <w:pPr>
        <w:spacing w:after="0"/>
      </w:pPr>
    </w:p>
    <w:p w:rsidR="00A87B94" w:rsidRDefault="007447B0">
      <w:r>
        <w:t>Povećanje obveza u odnosu na stanje 01. siječnja 2025.  odnosi se na evidentiranje obveza sukladno novom Pravilniku o proračunskom računovodstvu. Stanja obveza iz odjeljka 2395 na dan 31. prosinca 2024. prenesena su na odgovarajuće novootvorene račune u ok</w:t>
      </w:r>
      <w:r>
        <w:t xml:space="preserve">viru skupine 27. Uputom za računovodstveno evidentiranje sredstava Europske unije propisano je i evidentiranje predujma za EU projekt </w:t>
      </w:r>
      <w:proofErr w:type="spellStart"/>
      <w:r>
        <w:t>Erasmus</w:t>
      </w:r>
      <w:proofErr w:type="spellEnd"/>
      <w:r>
        <w:t>+ na osnovnom računu 27521. Iznos evidentiranih obveza za Eu predujmove iznosi 77.190,40 eura.</w:t>
      </w:r>
    </w:p>
    <w:p w:rsidR="00A87B94" w:rsidRDefault="00A87B94"/>
    <w:p w:rsidR="00A87B94" w:rsidRDefault="007447B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w:t>
            </w:r>
            <w:r>
              <w:rPr>
                <w:b/>
                <w:sz w:val="18"/>
              </w:rPr>
              <w:t xml:space="preserve">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9222</w:t>
            </w:r>
          </w:p>
        </w:tc>
        <w:tc>
          <w:tcPr>
            <w:tcW w:w="3180" w:type="dxa"/>
            <w:tcMar>
              <w:top w:w="0" w:type="dxa"/>
              <w:bottom w:w="0" w:type="dxa"/>
            </w:tcMar>
            <w:vAlign w:val="center"/>
          </w:tcPr>
          <w:p w:rsidR="00A87B94" w:rsidRDefault="007447B0">
            <w:pPr>
              <w:keepNext/>
              <w:keepLines/>
              <w:spacing w:after="0" w:line="240" w:lineRule="auto"/>
            </w:pPr>
            <w:r>
              <w:rPr>
                <w:sz w:val="18"/>
              </w:rPr>
              <w:t>Manjak prihoda i primitaka (šifre 92221 do 92223)</w:t>
            </w:r>
          </w:p>
        </w:tc>
        <w:tc>
          <w:tcPr>
            <w:tcW w:w="700" w:type="dxa"/>
            <w:tcMar>
              <w:top w:w="0" w:type="dxa"/>
              <w:bottom w:w="0" w:type="dxa"/>
            </w:tcMar>
            <w:vAlign w:val="center"/>
          </w:tcPr>
          <w:p w:rsidR="00A87B94" w:rsidRDefault="007447B0">
            <w:pPr>
              <w:keepNext/>
              <w:keepLines/>
              <w:spacing w:after="0" w:line="240" w:lineRule="auto"/>
            </w:pPr>
            <w:r>
              <w:rPr>
                <w:sz w:val="18"/>
              </w:rPr>
              <w:t>9222</w:t>
            </w:r>
          </w:p>
        </w:tc>
        <w:tc>
          <w:tcPr>
            <w:tcW w:w="1860" w:type="dxa"/>
            <w:tcMar>
              <w:top w:w="0" w:type="dxa"/>
              <w:bottom w:w="0" w:type="dxa"/>
            </w:tcMar>
            <w:vAlign w:val="center"/>
          </w:tcPr>
          <w:p w:rsidR="00A87B94" w:rsidRDefault="007447B0">
            <w:pPr>
              <w:keepNext/>
              <w:keepLines/>
              <w:spacing w:after="0" w:line="240" w:lineRule="auto"/>
              <w:jc w:val="right"/>
            </w:pPr>
            <w:r>
              <w:rPr>
                <w:sz w:val="18"/>
              </w:rPr>
              <w:t>4.193,33</w:t>
            </w:r>
          </w:p>
        </w:tc>
        <w:tc>
          <w:tcPr>
            <w:tcW w:w="1860" w:type="dxa"/>
            <w:tcMar>
              <w:top w:w="0" w:type="dxa"/>
              <w:bottom w:w="0" w:type="dxa"/>
            </w:tcMar>
            <w:vAlign w:val="center"/>
          </w:tcPr>
          <w:p w:rsidR="00A87B94" w:rsidRDefault="007447B0">
            <w:pPr>
              <w:keepNext/>
              <w:keepLines/>
              <w:spacing w:after="0" w:line="240" w:lineRule="auto"/>
              <w:jc w:val="right"/>
            </w:pPr>
            <w:r>
              <w:rPr>
                <w:sz w:val="18"/>
              </w:rPr>
              <w:t>320.662,80</w:t>
            </w:r>
          </w:p>
        </w:tc>
        <w:tc>
          <w:tcPr>
            <w:tcW w:w="700" w:type="dxa"/>
            <w:tcMar>
              <w:top w:w="0" w:type="dxa"/>
              <w:bottom w:w="0" w:type="dxa"/>
            </w:tcMar>
            <w:vAlign w:val="center"/>
          </w:tcPr>
          <w:p w:rsidR="00A87B94" w:rsidRDefault="007447B0">
            <w:pPr>
              <w:keepNext/>
              <w:keepLines/>
              <w:spacing w:after="0" w:line="240" w:lineRule="auto"/>
              <w:jc w:val="right"/>
            </w:pPr>
            <w:r>
              <w:rPr>
                <w:sz w:val="18"/>
              </w:rPr>
              <w:t>7647,0</w:t>
            </w:r>
          </w:p>
        </w:tc>
      </w:tr>
    </w:tbl>
    <w:p w:rsidR="00A87B94" w:rsidRDefault="00A87B94">
      <w:pPr>
        <w:spacing w:after="0"/>
      </w:pPr>
    </w:p>
    <w:p w:rsidR="00A87B94" w:rsidRDefault="007447B0">
      <w:r>
        <w:t>Tijekom 2025. godine evidentirani su prihodi na računima kapitalnih prijenosa sredstava. Manja prihoda poslovanja prije obvezne korekcije iznosi 228. 401,57 eura. Manjak prihoda od nefinancijske imovine prije obvezne korekcije iznosi 92.261,23 eura Provede</w:t>
      </w:r>
      <w:r>
        <w:t xml:space="preserve">na je korekcija </w:t>
      </w:r>
      <w:r>
        <w:lastRenderedPageBreak/>
        <w:t>rezultata na način da se za iznos od 86.606,08 eura zadužuje račun viška prihoda, a odobrava račun manjka prihoda od nefinancijske imovine. Podaci u bilanci iskazani su nakon obvezne korekcije rezultata u iznosu 86.606,08 eura, te je iskaza</w:t>
      </w:r>
      <w:r>
        <w:t>n manjak prihoda poslovanja u iznosu 315.007,65 eura i manjak prihoda od nefinancijske imovine u iznosu 5.655,15 eura.</w:t>
      </w:r>
    </w:p>
    <w:p w:rsidR="00A87B94" w:rsidRDefault="00A87B94"/>
    <w:p w:rsidR="00A87B94" w:rsidRDefault="007447B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9631</w:t>
            </w:r>
          </w:p>
        </w:tc>
        <w:tc>
          <w:tcPr>
            <w:tcW w:w="3180" w:type="dxa"/>
            <w:tcMar>
              <w:top w:w="0" w:type="dxa"/>
              <w:bottom w:w="0" w:type="dxa"/>
            </w:tcMar>
            <w:vAlign w:val="center"/>
          </w:tcPr>
          <w:p w:rsidR="00A87B94" w:rsidRDefault="007447B0">
            <w:pPr>
              <w:keepNext/>
              <w:keepLines/>
              <w:spacing w:after="0" w:line="240" w:lineRule="auto"/>
            </w:pPr>
            <w:r>
              <w:rPr>
                <w:sz w:val="18"/>
              </w:rPr>
              <w:t>Pomoći od inozemnih vlada</w:t>
            </w:r>
          </w:p>
        </w:tc>
        <w:tc>
          <w:tcPr>
            <w:tcW w:w="700" w:type="dxa"/>
            <w:tcMar>
              <w:top w:w="0" w:type="dxa"/>
              <w:bottom w:w="0" w:type="dxa"/>
            </w:tcMar>
            <w:vAlign w:val="center"/>
          </w:tcPr>
          <w:p w:rsidR="00A87B94" w:rsidRDefault="007447B0">
            <w:pPr>
              <w:keepNext/>
              <w:keepLines/>
              <w:spacing w:after="0" w:line="240" w:lineRule="auto"/>
            </w:pPr>
            <w:r>
              <w:rPr>
                <w:sz w:val="18"/>
              </w:rPr>
              <w:t>9631</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7.708,12</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 xml:space="preserve">Na ovoj poziciji evidentirane su obračunate pomoći od inozemnih vlada za </w:t>
      </w:r>
      <w:proofErr w:type="spellStart"/>
      <w:r>
        <w:t>Erasmus</w:t>
      </w:r>
      <w:proofErr w:type="spellEnd"/>
      <w:r>
        <w:t>+ projekt u kojem sudjeluje Prva ekonomska škola, a sredstva su dobivena od partnera  srednje škole iz inozemstva.</w:t>
      </w:r>
    </w:p>
    <w:p w:rsidR="00A87B94" w:rsidRDefault="00A87B94"/>
    <w:p w:rsidR="00A87B94" w:rsidRDefault="007447B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9636</w:t>
            </w:r>
          </w:p>
        </w:tc>
        <w:tc>
          <w:tcPr>
            <w:tcW w:w="3180" w:type="dxa"/>
            <w:tcMar>
              <w:top w:w="0" w:type="dxa"/>
              <w:bottom w:w="0" w:type="dxa"/>
            </w:tcMar>
            <w:vAlign w:val="center"/>
          </w:tcPr>
          <w:p w:rsidR="00A87B94" w:rsidRDefault="007447B0">
            <w:pPr>
              <w:keepNext/>
              <w:keepLines/>
              <w:spacing w:after="0" w:line="240" w:lineRule="auto"/>
            </w:pPr>
            <w:r>
              <w:rPr>
                <w:sz w:val="18"/>
              </w:rPr>
              <w:t>Pomoći proračunskim korisnicima iz proračuna koji im nije nadležan</w:t>
            </w:r>
          </w:p>
        </w:tc>
        <w:tc>
          <w:tcPr>
            <w:tcW w:w="700" w:type="dxa"/>
            <w:tcMar>
              <w:top w:w="0" w:type="dxa"/>
              <w:bottom w:w="0" w:type="dxa"/>
            </w:tcMar>
            <w:vAlign w:val="center"/>
          </w:tcPr>
          <w:p w:rsidR="00A87B94" w:rsidRDefault="007447B0">
            <w:pPr>
              <w:keepNext/>
              <w:keepLines/>
              <w:spacing w:after="0" w:line="240" w:lineRule="auto"/>
            </w:pPr>
            <w:r>
              <w:rPr>
                <w:sz w:val="18"/>
              </w:rPr>
              <w:t>9636</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261.320,65</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 xml:space="preserve"> Povećanje na ovoj poziciji rezultat je primjene novog Pravilnika o proračunskom računovodstvu temeljem kojeg su evidentirana potraživanja i obračunati prihodi od pomoći Ministarstva </w:t>
      </w:r>
      <w:proofErr w:type="spellStart"/>
      <w:r>
        <w:t>znanosti,obrazovanja</w:t>
      </w:r>
      <w:proofErr w:type="spellEnd"/>
      <w:r>
        <w:t xml:space="preserve"> i mladih za plaće i kapitalne pomoći.</w:t>
      </w:r>
    </w:p>
    <w:p w:rsidR="00A87B94" w:rsidRDefault="00A87B94"/>
    <w:p w:rsidR="00A87B94" w:rsidRDefault="007447B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9638</w:t>
            </w:r>
          </w:p>
        </w:tc>
        <w:tc>
          <w:tcPr>
            <w:tcW w:w="3180" w:type="dxa"/>
            <w:tcMar>
              <w:top w:w="0" w:type="dxa"/>
              <w:bottom w:w="0" w:type="dxa"/>
            </w:tcMar>
            <w:vAlign w:val="center"/>
          </w:tcPr>
          <w:p w:rsidR="00A87B94" w:rsidRDefault="007447B0">
            <w:pPr>
              <w:keepNext/>
              <w:keepLines/>
              <w:spacing w:after="0" w:line="240" w:lineRule="auto"/>
            </w:pPr>
            <w:r>
              <w:rPr>
                <w:sz w:val="18"/>
              </w:rPr>
              <w:t>Pomoći temeljem prijenosa EU sredstava</w:t>
            </w:r>
          </w:p>
        </w:tc>
        <w:tc>
          <w:tcPr>
            <w:tcW w:w="700" w:type="dxa"/>
            <w:tcMar>
              <w:top w:w="0" w:type="dxa"/>
              <w:bottom w:w="0" w:type="dxa"/>
            </w:tcMar>
            <w:vAlign w:val="center"/>
          </w:tcPr>
          <w:p w:rsidR="00A87B94" w:rsidRDefault="007447B0">
            <w:pPr>
              <w:keepNext/>
              <w:keepLines/>
              <w:spacing w:after="0" w:line="240" w:lineRule="auto"/>
            </w:pPr>
            <w:r>
              <w:rPr>
                <w:sz w:val="18"/>
              </w:rPr>
              <w:t>9638</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77.226,92</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 xml:space="preserve">Stanje ove stavke odnosi se na evidentiranje pomoći temeljem </w:t>
      </w:r>
      <w:proofErr w:type="spellStart"/>
      <w:r>
        <w:t>Erasmus</w:t>
      </w:r>
      <w:proofErr w:type="spellEnd"/>
      <w:r>
        <w:t>+ projekta. Agencija za mobilnost je u 2024. godini uplatila sredstva školi za potrebe provođenja projekta.</w:t>
      </w:r>
    </w:p>
    <w:p w:rsidR="00A87B94" w:rsidRDefault="00A87B94"/>
    <w:p w:rsidR="00A87B94" w:rsidRDefault="007447B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Stanje 31</w:t>
            </w:r>
            <w:r>
              <w:rPr>
                <w:b/>
                <w:sz w:val="18"/>
              </w:rPr>
              <w:t>. prosinca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991</w:t>
            </w:r>
          </w:p>
        </w:tc>
        <w:tc>
          <w:tcPr>
            <w:tcW w:w="3180" w:type="dxa"/>
            <w:tcMar>
              <w:top w:w="0" w:type="dxa"/>
              <w:bottom w:w="0" w:type="dxa"/>
            </w:tcMar>
            <w:vAlign w:val="center"/>
          </w:tcPr>
          <w:p w:rsidR="00A87B94" w:rsidRDefault="007447B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rsidR="00A87B94" w:rsidRDefault="007447B0">
            <w:pPr>
              <w:keepNext/>
              <w:keepLines/>
              <w:spacing w:after="0" w:line="240" w:lineRule="auto"/>
            </w:pPr>
            <w:r>
              <w:rPr>
                <w:sz w:val="18"/>
              </w:rPr>
              <w:t>991</w:t>
            </w:r>
          </w:p>
        </w:tc>
        <w:tc>
          <w:tcPr>
            <w:tcW w:w="1860" w:type="dxa"/>
            <w:tcMar>
              <w:top w:w="0" w:type="dxa"/>
              <w:bottom w:w="0" w:type="dxa"/>
            </w:tcMar>
            <w:vAlign w:val="center"/>
          </w:tcPr>
          <w:p w:rsidR="00A87B94" w:rsidRDefault="007447B0">
            <w:pPr>
              <w:keepNext/>
              <w:keepLines/>
              <w:spacing w:after="0" w:line="240" w:lineRule="auto"/>
              <w:jc w:val="right"/>
            </w:pPr>
            <w:r>
              <w:rPr>
                <w:sz w:val="18"/>
              </w:rPr>
              <w:t>25.253,63</w:t>
            </w:r>
          </w:p>
        </w:tc>
        <w:tc>
          <w:tcPr>
            <w:tcW w:w="1860" w:type="dxa"/>
            <w:tcMar>
              <w:top w:w="0" w:type="dxa"/>
              <w:bottom w:w="0" w:type="dxa"/>
            </w:tcMar>
            <w:vAlign w:val="center"/>
          </w:tcPr>
          <w:p w:rsidR="00A87B94" w:rsidRDefault="007447B0">
            <w:pPr>
              <w:keepNext/>
              <w:keepLines/>
              <w:spacing w:after="0" w:line="240" w:lineRule="auto"/>
              <w:jc w:val="right"/>
            </w:pPr>
            <w:r>
              <w:rPr>
                <w:sz w:val="18"/>
              </w:rPr>
              <w:t>121.741,63</w:t>
            </w:r>
          </w:p>
        </w:tc>
        <w:tc>
          <w:tcPr>
            <w:tcW w:w="700" w:type="dxa"/>
            <w:tcMar>
              <w:top w:w="0" w:type="dxa"/>
              <w:bottom w:w="0" w:type="dxa"/>
            </w:tcMar>
            <w:vAlign w:val="center"/>
          </w:tcPr>
          <w:p w:rsidR="00A87B94" w:rsidRDefault="007447B0">
            <w:pPr>
              <w:keepNext/>
              <w:keepLines/>
              <w:spacing w:after="0" w:line="240" w:lineRule="auto"/>
              <w:jc w:val="right"/>
            </w:pPr>
            <w:r>
              <w:rPr>
                <w:sz w:val="18"/>
              </w:rPr>
              <w:t>482,1</w:t>
            </w:r>
          </w:p>
        </w:tc>
      </w:tr>
    </w:tbl>
    <w:p w:rsidR="00A87B94" w:rsidRDefault="00A87B94">
      <w:pPr>
        <w:spacing w:after="0"/>
      </w:pPr>
    </w:p>
    <w:p w:rsidR="00A87B94" w:rsidRDefault="007447B0">
      <w:r>
        <w:t xml:space="preserve">Na ovoj poziciji iznos od 25.253,63 eura odnosi se na sudske sporove u tijeku. Iznos od 96.488,00 eura odnosi se na evidentiranu vrijednost sklopljenih ugovora za </w:t>
      </w:r>
      <w:proofErr w:type="spellStart"/>
      <w:r>
        <w:t>Erasmus</w:t>
      </w:r>
      <w:proofErr w:type="spellEnd"/>
      <w:r>
        <w:t>+ projekte temeljem Upute za računovodstveno evidentiranje sredstava Europske unije.</w:t>
      </w:r>
    </w:p>
    <w:p w:rsidR="00A87B94" w:rsidRDefault="00A87B94"/>
    <w:p w:rsidR="00A87B94" w:rsidRDefault="007447B0">
      <w:pPr>
        <w:keepNext/>
        <w:spacing w:line="240" w:lineRule="auto"/>
        <w:jc w:val="center"/>
      </w:pPr>
      <w:r>
        <w:rPr>
          <w:b/>
          <w:sz w:val="28"/>
        </w:rPr>
        <w:t>Izvještaj o rashodima prema funkcijskoj klasifikaciji</w:t>
      </w:r>
    </w:p>
    <w:p w:rsidR="00A87B94" w:rsidRDefault="007447B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7447B0">
            <w:pPr>
              <w:keepNext/>
              <w:keepLines/>
              <w:spacing w:after="0" w:line="240" w:lineRule="auto"/>
            </w:pPr>
            <w:r>
              <w:rPr>
                <w:sz w:val="18"/>
              </w:rPr>
              <w:t>0922</w:t>
            </w:r>
          </w:p>
        </w:tc>
        <w:tc>
          <w:tcPr>
            <w:tcW w:w="3180" w:type="dxa"/>
            <w:tcMar>
              <w:top w:w="0" w:type="dxa"/>
              <w:bottom w:w="0" w:type="dxa"/>
            </w:tcMar>
            <w:vAlign w:val="center"/>
          </w:tcPr>
          <w:p w:rsidR="00A87B94" w:rsidRDefault="007447B0">
            <w:pPr>
              <w:keepNext/>
              <w:keepLines/>
              <w:spacing w:after="0" w:line="240" w:lineRule="auto"/>
            </w:pPr>
            <w:r>
              <w:rPr>
                <w:sz w:val="18"/>
              </w:rPr>
              <w:t>Više srednjoškolsko obrazovanje</w:t>
            </w:r>
          </w:p>
        </w:tc>
        <w:tc>
          <w:tcPr>
            <w:tcW w:w="700" w:type="dxa"/>
            <w:tcMar>
              <w:top w:w="0" w:type="dxa"/>
              <w:bottom w:w="0" w:type="dxa"/>
            </w:tcMar>
            <w:vAlign w:val="center"/>
          </w:tcPr>
          <w:p w:rsidR="00A87B94" w:rsidRDefault="007447B0">
            <w:pPr>
              <w:keepNext/>
              <w:keepLines/>
              <w:spacing w:after="0" w:line="240" w:lineRule="auto"/>
            </w:pPr>
            <w:r>
              <w:rPr>
                <w:sz w:val="18"/>
              </w:rPr>
              <w:t>0922</w:t>
            </w:r>
          </w:p>
        </w:tc>
        <w:tc>
          <w:tcPr>
            <w:tcW w:w="1860" w:type="dxa"/>
            <w:tcMar>
              <w:top w:w="0" w:type="dxa"/>
              <w:bottom w:w="0" w:type="dxa"/>
            </w:tcMar>
            <w:vAlign w:val="center"/>
          </w:tcPr>
          <w:p w:rsidR="00A87B94" w:rsidRDefault="007447B0">
            <w:pPr>
              <w:keepNext/>
              <w:keepLines/>
              <w:spacing w:after="0" w:line="240" w:lineRule="auto"/>
              <w:jc w:val="right"/>
            </w:pPr>
            <w:r>
              <w:rPr>
                <w:sz w:val="18"/>
              </w:rPr>
              <w:t>3.266.811,49</w:t>
            </w:r>
          </w:p>
        </w:tc>
        <w:tc>
          <w:tcPr>
            <w:tcW w:w="1860" w:type="dxa"/>
            <w:tcMar>
              <w:top w:w="0" w:type="dxa"/>
              <w:bottom w:w="0" w:type="dxa"/>
            </w:tcMar>
            <w:vAlign w:val="center"/>
          </w:tcPr>
          <w:p w:rsidR="00A87B94" w:rsidRDefault="007447B0">
            <w:pPr>
              <w:keepNext/>
              <w:keepLines/>
              <w:spacing w:after="0" w:line="240" w:lineRule="auto"/>
              <w:jc w:val="right"/>
            </w:pPr>
            <w:r>
              <w:rPr>
                <w:sz w:val="18"/>
              </w:rPr>
              <w:t>3.910.172,70</w:t>
            </w:r>
          </w:p>
        </w:tc>
        <w:tc>
          <w:tcPr>
            <w:tcW w:w="700" w:type="dxa"/>
            <w:tcMar>
              <w:top w:w="0" w:type="dxa"/>
              <w:bottom w:w="0" w:type="dxa"/>
            </w:tcMar>
            <w:vAlign w:val="center"/>
          </w:tcPr>
          <w:p w:rsidR="00A87B94" w:rsidRDefault="007447B0">
            <w:pPr>
              <w:keepNext/>
              <w:keepLines/>
              <w:spacing w:after="0" w:line="240" w:lineRule="auto"/>
              <w:jc w:val="right"/>
            </w:pPr>
            <w:r>
              <w:rPr>
                <w:sz w:val="18"/>
              </w:rPr>
              <w:t>119,7</w:t>
            </w:r>
          </w:p>
        </w:tc>
      </w:tr>
    </w:tbl>
    <w:p w:rsidR="00A87B94" w:rsidRDefault="00A87B94">
      <w:pPr>
        <w:spacing w:after="0"/>
      </w:pPr>
    </w:p>
    <w:p w:rsidR="00A87B94" w:rsidRDefault="007447B0">
      <w:r>
        <w:t>Pod stavkom 0922, više srednjoškolsko obrazovanje iskazani su ukupno ostvareni rashodi u 2025. godini.</w:t>
      </w:r>
    </w:p>
    <w:p w:rsidR="00A87B94" w:rsidRDefault="00A87B94"/>
    <w:p w:rsidR="00A87B94" w:rsidRDefault="007447B0">
      <w:pPr>
        <w:keepNext/>
        <w:spacing w:line="240" w:lineRule="auto"/>
        <w:jc w:val="center"/>
      </w:pPr>
      <w:r>
        <w:rPr>
          <w:b/>
          <w:sz w:val="28"/>
        </w:rPr>
        <w:t>Promjene u vrijednosti i obujmu imovine i obveza</w:t>
      </w:r>
    </w:p>
    <w:p w:rsidR="00A87B94" w:rsidRDefault="007447B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Iznos </w:t>
            </w:r>
            <w:r>
              <w:rPr>
                <w:b/>
                <w:sz w:val="18"/>
              </w:rPr>
              <w:t>povećanja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sz w:val="18"/>
              </w:rPr>
              <w:t>Proizvedena dugotrajna imovina</w:t>
            </w:r>
          </w:p>
        </w:tc>
        <w:tc>
          <w:tcPr>
            <w:tcW w:w="700" w:type="dxa"/>
            <w:tcMar>
              <w:top w:w="0" w:type="dxa"/>
              <w:bottom w:w="0" w:type="dxa"/>
            </w:tcMar>
            <w:vAlign w:val="center"/>
          </w:tcPr>
          <w:p w:rsidR="00A87B94" w:rsidRDefault="007447B0">
            <w:pPr>
              <w:keepNext/>
              <w:keepLines/>
              <w:spacing w:after="0" w:line="240" w:lineRule="auto"/>
            </w:pPr>
            <w:r>
              <w:rPr>
                <w:sz w:val="18"/>
              </w:rPr>
              <w:t>P003</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1860" w:type="dxa"/>
            <w:tcMar>
              <w:top w:w="0" w:type="dxa"/>
              <w:bottom w:w="0" w:type="dxa"/>
            </w:tcMar>
            <w:vAlign w:val="center"/>
          </w:tcPr>
          <w:p w:rsidR="00A87B94" w:rsidRDefault="007447B0">
            <w:pPr>
              <w:keepNext/>
              <w:keepLines/>
              <w:spacing w:after="0" w:line="240" w:lineRule="auto"/>
              <w:jc w:val="right"/>
            </w:pPr>
            <w:r>
              <w:rPr>
                <w:sz w:val="18"/>
              </w:rPr>
              <w:t>112.028,91</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Smanjenje imovine odnosi se na obračun ispravka vrijednosti na dan 31.12.2025.</w:t>
      </w:r>
    </w:p>
    <w:p w:rsidR="00A87B94" w:rsidRDefault="00A87B94"/>
    <w:p w:rsidR="00A87B94" w:rsidRDefault="007447B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Iznos </w:t>
            </w:r>
            <w:r>
              <w:rPr>
                <w:b/>
                <w:sz w:val="18"/>
              </w:rPr>
              <w:t>smanjenja</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sz w:val="18"/>
              </w:rPr>
              <w:t>Proizvedena dugotrajna imovina</w:t>
            </w:r>
          </w:p>
        </w:tc>
        <w:tc>
          <w:tcPr>
            <w:tcW w:w="700" w:type="dxa"/>
            <w:tcMar>
              <w:top w:w="0" w:type="dxa"/>
              <w:bottom w:w="0" w:type="dxa"/>
            </w:tcMar>
            <w:vAlign w:val="center"/>
          </w:tcPr>
          <w:p w:rsidR="00A87B94" w:rsidRDefault="007447B0">
            <w:pPr>
              <w:keepNext/>
              <w:keepLines/>
              <w:spacing w:after="0" w:line="240" w:lineRule="auto"/>
            </w:pPr>
            <w:r>
              <w:rPr>
                <w:sz w:val="18"/>
              </w:rPr>
              <w:t>P018</w:t>
            </w:r>
          </w:p>
        </w:tc>
        <w:tc>
          <w:tcPr>
            <w:tcW w:w="1860" w:type="dxa"/>
            <w:tcMar>
              <w:top w:w="0" w:type="dxa"/>
              <w:bottom w:w="0" w:type="dxa"/>
            </w:tcMar>
            <w:vAlign w:val="center"/>
          </w:tcPr>
          <w:p w:rsidR="00A87B94" w:rsidRDefault="007447B0">
            <w:pPr>
              <w:keepNext/>
              <w:keepLines/>
              <w:spacing w:after="0" w:line="240" w:lineRule="auto"/>
              <w:jc w:val="right"/>
            </w:pPr>
            <w:r>
              <w:rPr>
                <w:sz w:val="18"/>
              </w:rPr>
              <w:t>211.886,74</w:t>
            </w:r>
          </w:p>
        </w:tc>
        <w:tc>
          <w:tcPr>
            <w:tcW w:w="1860" w:type="dxa"/>
            <w:tcMar>
              <w:top w:w="0" w:type="dxa"/>
              <w:bottom w:w="0" w:type="dxa"/>
            </w:tcMar>
            <w:vAlign w:val="center"/>
          </w:tcPr>
          <w:p w:rsidR="00A87B94" w:rsidRDefault="007447B0">
            <w:pPr>
              <w:keepNext/>
              <w:keepLines/>
              <w:spacing w:after="0" w:line="240" w:lineRule="auto"/>
              <w:jc w:val="right"/>
            </w:pPr>
            <w:r>
              <w:rPr>
                <w:sz w:val="18"/>
              </w:rPr>
              <w:t>599.680,40</w:t>
            </w:r>
          </w:p>
        </w:tc>
        <w:tc>
          <w:tcPr>
            <w:tcW w:w="700" w:type="dxa"/>
            <w:tcMar>
              <w:top w:w="0" w:type="dxa"/>
              <w:bottom w:w="0" w:type="dxa"/>
            </w:tcMar>
            <w:vAlign w:val="center"/>
          </w:tcPr>
          <w:p w:rsidR="00A87B94" w:rsidRDefault="007447B0">
            <w:pPr>
              <w:keepNext/>
              <w:keepLines/>
              <w:spacing w:after="0" w:line="240" w:lineRule="auto"/>
              <w:jc w:val="right"/>
            </w:pPr>
            <w:r>
              <w:rPr>
                <w:sz w:val="18"/>
              </w:rPr>
              <w:t>283,0</w:t>
            </w:r>
          </w:p>
        </w:tc>
      </w:tr>
    </w:tbl>
    <w:p w:rsidR="00A87B94" w:rsidRDefault="00A87B94">
      <w:pPr>
        <w:spacing w:after="0"/>
      </w:pPr>
    </w:p>
    <w:p w:rsidR="00A87B94" w:rsidRDefault="007447B0">
      <w:r>
        <w:t>Smanjenje imovine odnosi se na prijenos prava vlasništva nekretnine (školska zgrada i zemljište) sa Prve ekonomske škole na Grad Zagreb kao osnivača škole. Imovina je isknjižena temeljem Ugovora o prijenosu vlasništva. Kao smanjenje imovine prikazana je sa</w:t>
      </w:r>
      <w:r>
        <w:t xml:space="preserve">dašnja </w:t>
      </w:r>
      <w:r>
        <w:lastRenderedPageBreak/>
        <w:t>vrijednost imovine. Povećanje imovine odnosi se na prijenos imovine (računalo i uredska oprema i namještaj) Gradskog ureda za obrazovanje, sport i mlade Prvoj ekonomskoj školi. </w:t>
      </w:r>
    </w:p>
    <w:p w:rsidR="00A87B94" w:rsidRDefault="00A87B94"/>
    <w:p w:rsidR="00A87B94" w:rsidRDefault="007447B0">
      <w:pPr>
        <w:keepNext/>
        <w:spacing w:line="240" w:lineRule="auto"/>
        <w:jc w:val="center"/>
      </w:pPr>
      <w:r>
        <w:rPr>
          <w:b/>
          <w:sz w:val="28"/>
        </w:rPr>
        <w:t>Izvještaj o obvezama</w:t>
      </w:r>
    </w:p>
    <w:p w:rsidR="00A87B94" w:rsidRDefault="007447B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w:t>
            </w:r>
            <w:r>
              <w:rPr>
                <w:b/>
                <w:sz w:val="18"/>
              </w:rPr>
              <w:t>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Indeks (%)</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A87B94" w:rsidRDefault="007447B0">
            <w:pPr>
              <w:keepNext/>
              <w:keepLines/>
              <w:spacing w:after="0" w:line="240" w:lineRule="auto"/>
            </w:pPr>
            <w:r>
              <w:rPr>
                <w:sz w:val="18"/>
              </w:rPr>
              <w:t>V007</w:t>
            </w:r>
          </w:p>
        </w:tc>
        <w:tc>
          <w:tcPr>
            <w:tcW w:w="1860" w:type="dxa"/>
            <w:tcMar>
              <w:top w:w="0" w:type="dxa"/>
              <w:bottom w:w="0" w:type="dxa"/>
            </w:tcMar>
            <w:vAlign w:val="center"/>
          </w:tcPr>
          <w:p w:rsidR="00A87B94" w:rsidRDefault="007447B0">
            <w:pPr>
              <w:keepNext/>
              <w:keepLines/>
              <w:spacing w:after="0" w:line="240" w:lineRule="auto"/>
              <w:jc w:val="right"/>
            </w:pPr>
            <w:r>
              <w:rPr>
                <w:sz w:val="18"/>
              </w:rPr>
              <w:t>0,00</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 xml:space="preserve">Na kraju izvještajnog razdoblja nema </w:t>
      </w:r>
      <w:proofErr w:type="spellStart"/>
      <w:r>
        <w:t>dospijelih</w:t>
      </w:r>
      <w:proofErr w:type="spellEnd"/>
      <w:r>
        <w:t xml:space="preserve"> obveza.</w:t>
      </w:r>
    </w:p>
    <w:p w:rsidR="00A87B94" w:rsidRDefault="00A87B94"/>
    <w:p w:rsidR="00A87B94" w:rsidRDefault="007447B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87B94">
        <w:tblPrEx>
          <w:tblCellMar>
            <w:top w:w="0" w:type="dxa"/>
            <w:bottom w:w="0" w:type="dxa"/>
          </w:tblCellMar>
        </w:tblPrEx>
        <w:trPr>
          <w:cantSplit/>
        </w:trPr>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A87B94" w:rsidRDefault="007447B0">
            <w:pPr>
              <w:keepNext/>
              <w:keepLines/>
              <w:spacing w:after="0" w:line="240" w:lineRule="auto"/>
              <w:jc w:val="center"/>
            </w:pPr>
            <w:r>
              <w:rPr>
                <w:b/>
                <w:sz w:val="18"/>
              </w:rPr>
              <w:t xml:space="preserve">Indeks </w:t>
            </w:r>
            <w:r>
              <w:rPr>
                <w:b/>
                <w:sz w:val="18"/>
              </w:rPr>
              <w:t>(%)</w:t>
            </w:r>
          </w:p>
        </w:tc>
      </w:tr>
      <w:tr w:rsidR="00A87B94">
        <w:tblPrEx>
          <w:tblCellMar>
            <w:top w:w="0" w:type="dxa"/>
            <w:bottom w:w="0" w:type="dxa"/>
          </w:tblCellMar>
        </w:tblPrEx>
        <w:trPr>
          <w:cantSplit/>
          <w:trHeight w:val="560"/>
        </w:trPr>
        <w:tc>
          <w:tcPr>
            <w:tcW w:w="700" w:type="dxa"/>
            <w:tcMar>
              <w:top w:w="0" w:type="dxa"/>
              <w:bottom w:w="0" w:type="dxa"/>
            </w:tcMar>
            <w:vAlign w:val="center"/>
          </w:tcPr>
          <w:p w:rsidR="00A87B94" w:rsidRDefault="00A87B94">
            <w:pPr>
              <w:keepNext/>
              <w:keepLines/>
              <w:spacing w:after="0" w:line="240" w:lineRule="auto"/>
            </w:pPr>
          </w:p>
        </w:tc>
        <w:tc>
          <w:tcPr>
            <w:tcW w:w="3180" w:type="dxa"/>
            <w:tcMar>
              <w:top w:w="0" w:type="dxa"/>
              <w:bottom w:w="0" w:type="dxa"/>
            </w:tcMar>
            <w:vAlign w:val="center"/>
          </w:tcPr>
          <w:p w:rsidR="00A87B94" w:rsidRDefault="007447B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A87B94" w:rsidRDefault="007447B0">
            <w:pPr>
              <w:keepNext/>
              <w:keepLines/>
              <w:spacing w:after="0" w:line="240" w:lineRule="auto"/>
            </w:pPr>
            <w:r>
              <w:rPr>
                <w:sz w:val="18"/>
              </w:rPr>
              <w:t>V009</w:t>
            </w:r>
          </w:p>
        </w:tc>
        <w:tc>
          <w:tcPr>
            <w:tcW w:w="1860" w:type="dxa"/>
            <w:tcMar>
              <w:top w:w="0" w:type="dxa"/>
              <w:bottom w:w="0" w:type="dxa"/>
            </w:tcMar>
            <w:vAlign w:val="center"/>
          </w:tcPr>
          <w:p w:rsidR="00A87B94" w:rsidRDefault="007447B0">
            <w:pPr>
              <w:keepNext/>
              <w:keepLines/>
              <w:spacing w:after="0" w:line="240" w:lineRule="auto"/>
              <w:jc w:val="right"/>
            </w:pPr>
            <w:r>
              <w:rPr>
                <w:sz w:val="18"/>
              </w:rPr>
              <w:t>434.832,80</w:t>
            </w:r>
          </w:p>
        </w:tc>
        <w:tc>
          <w:tcPr>
            <w:tcW w:w="700" w:type="dxa"/>
            <w:tcMar>
              <w:top w:w="0" w:type="dxa"/>
              <w:bottom w:w="0" w:type="dxa"/>
            </w:tcMar>
            <w:vAlign w:val="center"/>
          </w:tcPr>
          <w:p w:rsidR="00A87B94" w:rsidRDefault="007447B0">
            <w:pPr>
              <w:keepNext/>
              <w:keepLines/>
              <w:spacing w:after="0" w:line="240" w:lineRule="auto"/>
              <w:jc w:val="right"/>
            </w:pPr>
            <w:r>
              <w:rPr>
                <w:sz w:val="18"/>
              </w:rPr>
              <w:t>-</w:t>
            </w:r>
          </w:p>
        </w:tc>
      </w:tr>
    </w:tbl>
    <w:p w:rsidR="00A87B94" w:rsidRDefault="00A87B94">
      <w:pPr>
        <w:spacing w:after="0"/>
      </w:pPr>
    </w:p>
    <w:p w:rsidR="00A87B94" w:rsidRDefault="007447B0">
      <w:r>
        <w:t xml:space="preserve">Iskazane su </w:t>
      </w:r>
      <w:proofErr w:type="spellStart"/>
      <w:r>
        <w:t>nedospijele</w:t>
      </w:r>
      <w:proofErr w:type="spellEnd"/>
      <w:r>
        <w:t xml:space="preserve"> obveze koje se odnose na obveze za zaposlene - plaća za prosinac 2025. godine, obveze za prijevoz za prosinac 2025. godine, obveze za ostale materijalne rashode, obveze za EU predujmove i međusobne obveze proračunskih korisnika, a k</w:t>
      </w:r>
      <w:r>
        <w:t>ojima dospijeće plaćanja nije do 31.12.2025.</w:t>
      </w:r>
    </w:p>
    <w:p w:rsidR="00A87B94" w:rsidRDefault="00A87B94"/>
    <w:p w:rsidR="00A87B94" w:rsidRDefault="007447B0">
      <w:pPr>
        <w:keepNext/>
        <w:spacing w:line="240" w:lineRule="auto"/>
        <w:jc w:val="center"/>
      </w:pPr>
      <w:r>
        <w:rPr>
          <w:sz w:val="28"/>
        </w:rPr>
        <w:t>Bilješka 40.</w:t>
      </w:r>
    </w:p>
    <w:p w:rsidR="00A87B94" w:rsidRDefault="007447B0">
      <w:pPr>
        <w:spacing w:line="240" w:lineRule="auto"/>
        <w:jc w:val="both"/>
      </w:pPr>
      <w:r>
        <w:rPr>
          <w:b/>
        </w:rPr>
        <w:t>EU izvještaj</w:t>
      </w:r>
    </w:p>
    <w:p w:rsidR="00A87B94" w:rsidRDefault="007447B0">
      <w:r>
        <w:t xml:space="preserve">U EU izvještaju za izvještajno razdoblje od 01. siječnja do 31. prosinca popunjeni su podaci na izvoru 510 PROGRAMI UNIJE za </w:t>
      </w:r>
      <w:proofErr w:type="spellStart"/>
      <w:r>
        <w:t>Erasmus</w:t>
      </w:r>
      <w:proofErr w:type="spellEnd"/>
      <w:r>
        <w:t xml:space="preserve">+ projekte u kojima sudjeluje Prva ekonomska škola. </w:t>
      </w:r>
      <w:r>
        <w:t xml:space="preserve">Pod šifrom 638 iskazani su ostvareni prihodi  koji su priznati nakon odobrenog završnog izvješća o provedbi aktivnosti programa </w:t>
      </w:r>
      <w:proofErr w:type="spellStart"/>
      <w:r>
        <w:t>Erasmus</w:t>
      </w:r>
      <w:proofErr w:type="spellEnd"/>
      <w:r>
        <w:t xml:space="preserve">+. Rashodi poslovanja iskazani na šifri 3 odnose se na provedbu projekata u okviru programa </w:t>
      </w:r>
      <w:proofErr w:type="spellStart"/>
      <w:r>
        <w:t>Erasmus</w:t>
      </w:r>
      <w:proofErr w:type="spellEnd"/>
      <w:r>
        <w:t>+. Na računima 1631, 1</w:t>
      </w:r>
      <w:r>
        <w:t>638 i 9638 evidentirana su potraživanja i obračunati prihodi za pomoći na temelju nastalih rashoda. na računu 275 iskazane su obveze za EU predujmove nakon izvršene korekcije rezultata 2024. godine i zaprimljenog predujma tijekom 2025. godine. stanje na ra</w:t>
      </w:r>
      <w:r>
        <w:t xml:space="preserve">čunu 99171- </w:t>
      </w:r>
      <w:proofErr w:type="spellStart"/>
      <w:r>
        <w:t>izvanbilačni</w:t>
      </w:r>
      <w:proofErr w:type="spellEnd"/>
      <w:r>
        <w:t xml:space="preserve"> zapisi odnosi se na evidentirane ugovore o dodjeli bespovratnih sredstava za provedbu programa </w:t>
      </w:r>
      <w:proofErr w:type="spellStart"/>
      <w:r>
        <w:t>Erasmus</w:t>
      </w:r>
      <w:proofErr w:type="spellEnd"/>
      <w:r>
        <w:t xml:space="preserve">+. Ugovor koji je sklopljen u 2025. godini evidentiran je u </w:t>
      </w:r>
      <w:proofErr w:type="spellStart"/>
      <w:r>
        <w:t>cjeloukupnoj</w:t>
      </w:r>
      <w:proofErr w:type="spellEnd"/>
      <w:r>
        <w:t xml:space="preserve"> vrijednosti u iznosu , a ugovor koji je sklopljen  2024.</w:t>
      </w:r>
      <w:r>
        <w:t xml:space="preserve"> godine evidentiran je u iznosu za koji nisu nastali rashodi u 2024. godini.</w:t>
      </w:r>
    </w:p>
    <w:p w:rsidR="00A87B94" w:rsidRDefault="007447B0">
      <w:r>
        <w:t> </w:t>
      </w:r>
    </w:p>
    <w:p w:rsidR="00A87B94" w:rsidRDefault="00A87B94"/>
    <w:sectPr w:rsidR="00A87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94"/>
    <w:rsid w:val="007447B0"/>
    <w:rsid w:val="00A87B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0FB5D-9375-4F4F-9E73-BC9FDE09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3015</Words>
  <Characters>17190</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2026-02-02T12:41:00Z</dcterms:created>
  <dcterms:modified xsi:type="dcterms:W3CDTF">2026-02-02T12:41:00Z</dcterms:modified>
</cp:coreProperties>
</file>